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BEC1" w14:textId="77777777" w:rsidR="00CA5BEF" w:rsidRDefault="00CA5BEF" w:rsidP="00CA5BEF">
      <w:pPr>
        <w:pStyle w:val="Heading1"/>
        <w:jc w:val="center"/>
      </w:pPr>
      <w:r>
        <w:t>Vykazovacie povinnosti AISP</w:t>
      </w:r>
    </w:p>
    <w:p w14:paraId="1236E38F" w14:textId="77777777" w:rsidR="00CA5BEF" w:rsidRPr="003D68AB" w:rsidRDefault="00CA5BEF" w:rsidP="00CA5BEF">
      <w:pPr>
        <w:pStyle w:val="NormalWeb"/>
        <w:shd w:val="clear" w:color="auto" w:fill="FFFFFF" w:themeFill="background1"/>
        <w:spacing w:after="0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V zmysle zákona č. 747/2004 Z. z. o dohľade nad finančným trhom a o zmene a doplnení niektorých zákonov v znení neskorších predpisov (ďalej len „Zákon 747/2004“) Národná banka Slovenska v rámci dohľadu nad finančným trhom vykonáva dohľad nad dohliadanými subjektmi a to okrem iných nad poskytovateľmi služieb informovania o platobnom účte, ktorý je povinný sa riadiť ustanoveniami </w:t>
      </w:r>
      <w:hyperlink r:id="rId8">
        <w:r w:rsidRPr="003D68AB">
          <w:rPr>
            <w:rStyle w:val="Hyperlink"/>
            <w:rFonts w:ascii="Cambria" w:hAnsi="Cambria"/>
            <w:color w:val="000000" w:themeColor="text1"/>
            <w:sz w:val="18"/>
            <w:szCs w:val="18"/>
          </w:rPr>
          <w:t>zákona č. 492/2009 Z. z. o platobných službách a o zmene a doplnení niektorých zákonov v znení neskorších predpisov</w:t>
        </w:r>
      </w:hyperlink>
      <w:r w:rsidRPr="003D68AB">
        <w:rPr>
          <w:rStyle w:val="Hyperlink"/>
          <w:rFonts w:ascii="Cambria" w:hAnsi="Cambria"/>
          <w:color w:val="000000" w:themeColor="text1"/>
          <w:sz w:val="18"/>
          <w:szCs w:val="18"/>
        </w:rPr>
        <w:t xml:space="preserve"> (ďalej len „Zákon 492/2009“)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a inou aktuálne platnou právnou úpravou.</w:t>
      </w:r>
    </w:p>
    <w:p w14:paraId="5EC498B9" w14:textId="77777777" w:rsidR="00CA5BEF" w:rsidRDefault="00CA5BEF" w:rsidP="00CA5BEF">
      <w:pPr>
        <w:pStyle w:val="NormalWeb"/>
        <w:shd w:val="clear" w:color="auto" w:fill="FFFFFF" w:themeFill="background1"/>
        <w:spacing w:after="0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Povinnosť predkladať Národnej banke Slovenska výkazy dohliadaným subjektom je stanovená všeobecne záväzným právnym predpisom a teda aktuálne platnou právnou legislatívou, ktorými sú Zákon 492/2009 a Opatrenie Národnej banky Slovenska č. 8/2019 o predkladaní výkazov platobnými inštitúciami, pobočkami zahraničných platobných inštitúcií, inštitúciami elektronických peňazí a pobočkami zahraničných inštitúcií elektronických peňazí a Opatrenie Národnej banky Slovenska č. 3/2020, ktorým sa mení a dopĺňa opatrenie Národnej banky Slovenska č. 8/2019 o predkladaní výkazov platobnými inštitúciami, pobočkami zahraničných platobných inštitúcií, inštitúciami elektronických peňazí a pobočkami zahraničných inštitúcií elektronických peňazí. Predmetné opatrenie v § 3 vymedzuje okrem iného spôsob a deň predkladania výkazov pričom výkazy sa predkladajú elektronicky prostredníctvom informačného systému Štatistický zberový portál (ďalej len „IS ŠZP“). </w:t>
      </w:r>
    </w:p>
    <w:p w14:paraId="3723DEC1" w14:textId="77777777" w:rsidR="00CA5BEF" w:rsidRPr="003D68AB" w:rsidRDefault="00CA5BEF" w:rsidP="00CA5BEF">
      <w:pPr>
        <w:pStyle w:val="NormalWeb"/>
        <w:shd w:val="clear" w:color="auto" w:fill="FFFFFF" w:themeFill="background1"/>
        <w:spacing w:after="0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>
        <w:rPr>
          <w:rFonts w:asciiTheme="minorHAnsi" w:hAnsiTheme="minorHAnsi" w:cstheme="minorBidi"/>
          <w:color w:val="000000" w:themeColor="text1"/>
          <w:sz w:val="19"/>
          <w:szCs w:val="19"/>
        </w:rPr>
        <w:t>AISP predkladá NBS nasledovné:</w:t>
      </w:r>
    </w:p>
    <w:p w14:paraId="76255B04" w14:textId="3B2CDAEC" w:rsidR="00CA5BEF" w:rsidRPr="003D68AB" w:rsidRDefault="00CA5BEF" w:rsidP="00CA5BEF">
      <w:pPr>
        <w:pStyle w:val="NormalWeb"/>
        <w:numPr>
          <w:ilvl w:val="0"/>
          <w:numId w:val="1"/>
        </w:numPr>
        <w:shd w:val="clear" w:color="auto" w:fill="FFFFFF" w:themeFill="background1"/>
        <w:spacing w:after="0"/>
        <w:ind w:left="426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výkazy a to Bilanciu aktív a</w:t>
      </w:r>
      <w:r w:rsidR="0002251D">
        <w:rPr>
          <w:rFonts w:asciiTheme="minorHAnsi" w:hAnsiTheme="minorHAnsi" w:cstheme="minorBidi"/>
          <w:color w:val="000000" w:themeColor="text1"/>
          <w:sz w:val="19"/>
          <w:szCs w:val="19"/>
        </w:rPr>
        <w:t> 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pasív</w:t>
      </w:r>
      <w:r w:rsidR="0002251D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a </w:t>
      </w: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Výkaz ziskov a strát pravidelne mesačne do 25 kalendárnych dní odo dňa, ku ktorému sa vypracúvajú a to elektronicky prostredníctvom IS ŠZP. Pričom výkazy sa vypracúvajú podľa stavu k poslednému dňu príslušného kalendárneho mesiaca. </w:t>
      </w:r>
    </w:p>
    <w:p w14:paraId="12219E8B" w14:textId="77777777" w:rsidR="00CA5BEF" w:rsidRPr="003D68AB" w:rsidRDefault="00CA5BEF" w:rsidP="00CA5BEF">
      <w:pPr>
        <w:pStyle w:val="NormalWeb"/>
        <w:numPr>
          <w:ilvl w:val="0"/>
          <w:numId w:val="1"/>
        </w:numPr>
        <w:shd w:val="clear" w:color="auto" w:fill="FFFFFF" w:themeFill="background1"/>
        <w:spacing w:after="0"/>
        <w:ind w:left="426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informáciu, ktorý audítor bol poverený overením účtovnej závierky spoločnosti na rok 2020 (a to do bezodkladne po uzavretí zmluvy s audítorom).</w:t>
      </w:r>
    </w:p>
    <w:p w14:paraId="2ECBF82A" w14:textId="77777777" w:rsidR="00CA5BEF" w:rsidRPr="003D68AB" w:rsidRDefault="00CA5BEF" w:rsidP="00CA5BEF">
      <w:pPr>
        <w:pStyle w:val="NormalWeb"/>
        <w:numPr>
          <w:ilvl w:val="0"/>
          <w:numId w:val="1"/>
        </w:numPr>
        <w:shd w:val="clear" w:color="auto" w:fill="FFFFFF" w:themeFill="background1"/>
        <w:spacing w:after="0"/>
        <w:ind w:left="426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list odporúčaní audítora vedeniu spoločnosti a to do šiestich mesiacov odo dňa skončenia obdobia, za ktoré bol audit vykonaný. V prípade, že list odporúčaní audítor nevydal, žiadame predmetnú informáciu taktiež predložiť do šiestich mesiacov odo dňa skončenia obdobia, za ktoré bol audit vykonaný.</w:t>
      </w:r>
    </w:p>
    <w:p w14:paraId="61FC298A" w14:textId="77777777" w:rsidR="00CA5BEF" w:rsidRPr="003D68AB" w:rsidRDefault="00CA5BEF" w:rsidP="00CA5BEF">
      <w:pPr>
        <w:pStyle w:val="NormalWeb"/>
        <w:numPr>
          <w:ilvl w:val="0"/>
          <w:numId w:val="1"/>
        </w:numPr>
        <w:shd w:val="clear" w:color="auto" w:fill="FFFFFF" w:themeFill="background1"/>
        <w:spacing w:after="0"/>
        <w:ind w:left="426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plán kontrolnej činnosti na nasledujúci rok a to do 31.12. príslušného kalendárneho roka.</w:t>
      </w:r>
    </w:p>
    <w:p w14:paraId="21D27B83" w14:textId="42F0A624" w:rsidR="00CA5BEF" w:rsidRDefault="00CA5BEF" w:rsidP="00CA5BEF">
      <w:pPr>
        <w:pStyle w:val="NormalWeb"/>
        <w:numPr>
          <w:ilvl w:val="0"/>
          <w:numId w:val="1"/>
        </w:numPr>
        <w:shd w:val="clear" w:color="auto" w:fill="FFFFFF" w:themeFill="background1"/>
        <w:spacing w:after="0"/>
        <w:ind w:left="426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zmluvy o poistení zodpovednosti za škodu to po pred uplynutím platnosti aktuálne uzatvorenej a to s ktorou poisťovňou plánuje spoločnosť predmetnú zmluvu uzatvoriť, na aké obdobie, s akou poistnou sumou a poistným. Zároveň žiadame predložiť novo uzatvorenú zmluvu o poistení zodpovednosti za škodu na ďalšie obdobie. </w:t>
      </w:r>
    </w:p>
    <w:p w14:paraId="48797EF7" w14:textId="169F975B" w:rsidR="00D835BB" w:rsidRPr="00FB5129" w:rsidRDefault="00012CF2" w:rsidP="00012CF2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9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FB5129">
        <w:rPr>
          <w:rFonts w:asciiTheme="minorHAnsi" w:hAnsiTheme="minorHAnsi" w:cstheme="minorBidi"/>
          <w:color w:val="000000" w:themeColor="text1"/>
          <w:sz w:val="19"/>
          <w:szCs w:val="19"/>
        </w:rPr>
        <w:t>p</w:t>
      </w:r>
      <w:r w:rsidR="00D835BB" w:rsidRPr="00FB5129">
        <w:rPr>
          <w:rFonts w:asciiTheme="minorHAnsi" w:hAnsiTheme="minorHAnsi" w:cstheme="minorBidi"/>
          <w:color w:val="000000" w:themeColor="text1"/>
          <w:sz w:val="19"/>
          <w:szCs w:val="19"/>
        </w:rPr>
        <w:t>ravidelne mesačne vždy k 25. dňu v mesiaci a to elektronicky na dohladplatobnesluzby@nbs.sk nasledovné informácie</w:t>
      </w:r>
      <w:r w:rsidRPr="00FB5129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: </w:t>
      </w:r>
    </w:p>
    <w:p w14:paraId="7272F78B" w14:textId="0B98B108" w:rsidR="00012CF2" w:rsidRPr="00FB5129" w:rsidRDefault="00D835BB" w:rsidP="00012CF2">
      <w:pPr>
        <w:pStyle w:val="NormalWeb"/>
        <w:shd w:val="clear" w:color="auto" w:fill="FFFFFF" w:themeFill="background1"/>
        <w:spacing w:before="0" w:beforeAutospacing="0" w:after="0" w:afterAutospacing="0"/>
        <w:ind w:left="39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FB5129">
        <w:rPr>
          <w:rFonts w:asciiTheme="minorHAnsi" w:hAnsiTheme="minorHAnsi" w:cstheme="minorBidi"/>
          <w:color w:val="000000" w:themeColor="text1"/>
          <w:sz w:val="19"/>
          <w:szCs w:val="19"/>
        </w:rPr>
        <w:t>- prehľad používateľov platobných služieb s popisom poskytnutej platobnej služby</w:t>
      </w:r>
    </w:p>
    <w:p w14:paraId="5A08A88E" w14:textId="7BCC4390" w:rsidR="00D835BB" w:rsidRPr="003D68AB" w:rsidRDefault="00D835BB" w:rsidP="00012CF2">
      <w:pPr>
        <w:pStyle w:val="NormalWeb"/>
        <w:shd w:val="clear" w:color="auto" w:fill="FFFFFF" w:themeFill="background1"/>
        <w:spacing w:before="0" w:beforeAutospacing="0" w:after="0" w:afterAutospacing="0"/>
        <w:ind w:left="397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FB5129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- počet </w:t>
      </w:r>
      <w:r w:rsidR="00012CF2" w:rsidRPr="00FB5129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iniciovaných </w:t>
      </w:r>
      <w:r w:rsidRPr="00FB5129">
        <w:rPr>
          <w:rFonts w:asciiTheme="minorHAnsi" w:hAnsiTheme="minorHAnsi" w:cstheme="minorBidi"/>
          <w:color w:val="000000" w:themeColor="text1"/>
          <w:sz w:val="19"/>
          <w:szCs w:val="19"/>
        </w:rPr>
        <w:t>platieb vrátane informácie o počte pripojení k bankám so sídlom v SR ako aj zahraničným bankám v členení podľa úspešnosti ako aj podľa toho, či sa spoločnosť pripája k bankám priamo sama alebo prostredníctvom inej spoločnosti (AISP-a)</w:t>
      </w:r>
      <w:r w:rsidR="00012CF2" w:rsidRPr="00FB5129">
        <w:rPr>
          <w:rFonts w:asciiTheme="minorHAnsi" w:hAnsiTheme="minorHAnsi" w:cstheme="minorBidi"/>
          <w:color w:val="000000" w:themeColor="text1"/>
          <w:sz w:val="19"/>
          <w:szCs w:val="19"/>
        </w:rPr>
        <w:t>.</w:t>
      </w:r>
    </w:p>
    <w:p w14:paraId="22D9050B" w14:textId="77777777" w:rsidR="00CA5BEF" w:rsidRPr="003D68AB" w:rsidRDefault="00CA5BEF" w:rsidP="00CA5BEF">
      <w:pPr>
        <w:pStyle w:val="NormalWeb"/>
        <w:shd w:val="clear" w:color="auto" w:fill="FFFFFF" w:themeFill="background1"/>
        <w:spacing w:after="0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Dávame do pozornosti ustanovenie § 28c ods. 2 Zákona 492/2009, podľa ktorého poskytovateľ platobných služieb najmenej raz ročne poskytuje Národnej banke Slovenska aktualizované a komplexné posúdenie riadenia prevádzkového rizika a bezpečnostného rizika súvisiacich s poskytovaním platobných služieb, ako aj primeranosť opatrení na zmiernenie takýchto rizík a zavedených kontrolných mechanizmov s cieľom reagovať na takéto riziká. Taktiež dávame do pozornosti ustanovenie § 28d ods. 3 Zákona 492/2009, podľa ktorého poskytovateľ platobných služieb najmenej raz ročne poskytne Národnej banke Slovenska štatistické údaje o podvodoch súvisiacich s platobnými operáciami. </w:t>
      </w:r>
    </w:p>
    <w:p w14:paraId="7245EAE2" w14:textId="77777777" w:rsidR="00772192" w:rsidRDefault="00CA5BEF" w:rsidP="00772192">
      <w:pPr>
        <w:pStyle w:val="NormalWeb"/>
        <w:shd w:val="clear" w:color="auto" w:fill="FFFFFF" w:themeFill="background1"/>
        <w:spacing w:after="0"/>
        <w:textAlignment w:val="baseline"/>
        <w:rPr>
          <w:rFonts w:asciiTheme="minorHAnsi" w:hAnsiTheme="minorHAnsi" w:cstheme="minorBidi"/>
          <w:color w:val="000000" w:themeColor="text1"/>
          <w:sz w:val="19"/>
          <w:szCs w:val="19"/>
        </w:rPr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Zároveň dávame do pozornosti aj ustanovenie § 34 ods. 1 písm. d) Zákona 492/2009, podľa ktorého je poskytovateľ platobných služieb povinný predkladať Národnej banke Slovenska informácie o poskytovaných službách viazaných na platobný účet a poplatkoch za tieto služby na účely § 44a. V tejto súvislosti bola zverejnená na webovom sídle Národnej banky Slovenska „Informácia o porovnateľnosti poplatkov za služby viazané na platobný účet“ a taktiež bola zverejnená „Metodika na vypracovávanie výkazu o poplatkoch za služby viazané na platobný účet </w:t>
      </w:r>
      <w:proofErr w:type="spellStart"/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Bd</w:t>
      </w:r>
      <w:proofErr w:type="spellEnd"/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(SPU)-1-02“ v IS ŠZP. Pripájame stránku  http://www.nbs.sk/sk/dohlad-nad-financnym-trhom/dohlad/pad-porovnatelnost-poplatkov-za-sluzby-viazane-na-platobny-ucet, pričom upozorňujeme aj na záložky „Oznamovanie dôvodných podozrení na podvodné konanie“, „Oznamovanie závažných incidentov“, „Oznamovanie odmietnutia prístupu k platobnému účtu. Zároveň odporúčame priebežne sledovať webové sídlo Národnej banky Slovenska ako aj naplánované vzory výkazov v IS ŠZP. </w:t>
      </w:r>
    </w:p>
    <w:p w14:paraId="607AAAB7" w14:textId="017EBA57" w:rsidR="00FF04B5" w:rsidRPr="00564381" w:rsidRDefault="00CA5BEF" w:rsidP="00772192">
      <w:pPr>
        <w:pStyle w:val="NormalWeb"/>
        <w:shd w:val="clear" w:color="auto" w:fill="FFFFFF" w:themeFill="background1"/>
        <w:spacing w:after="0"/>
        <w:textAlignment w:val="baseline"/>
      </w:pPr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Na ustanovenia § 28d ods. 3 a § 34 ods. 1 písm. d) Zákona 492/2009 nadväzuje polročné predkladanie výkazu „</w:t>
      </w:r>
      <w:proofErr w:type="spellStart"/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>Bd</w:t>
      </w:r>
      <w:proofErr w:type="spellEnd"/>
      <w:r w:rsidRPr="003D68AB">
        <w:rPr>
          <w:rFonts w:asciiTheme="minorHAnsi" w:hAnsiTheme="minorHAnsi" w:cstheme="minorBidi"/>
          <w:color w:val="000000" w:themeColor="text1"/>
          <w:sz w:val="19"/>
          <w:szCs w:val="19"/>
        </w:rPr>
        <w:t xml:space="preserve"> (SPU) 1-02“ ako aj „PSP (POD) 01-02“</w:t>
      </w:r>
      <w:r w:rsidR="00772192">
        <w:rPr>
          <w:rFonts w:asciiTheme="minorHAnsi" w:hAnsiTheme="minorHAnsi" w:cstheme="minorBidi"/>
          <w:color w:val="000000" w:themeColor="text1"/>
          <w:sz w:val="19"/>
          <w:szCs w:val="19"/>
        </w:rPr>
        <w:t>.</w:t>
      </w:r>
    </w:p>
    <w:sectPr w:rsidR="00FF04B5" w:rsidRPr="00564381" w:rsidSect="00772192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8EB63" w14:textId="77777777" w:rsidR="00F55D04" w:rsidRDefault="00F55D04" w:rsidP="0009480D">
      <w:pPr>
        <w:spacing w:after="0" w:line="240" w:lineRule="auto"/>
      </w:pPr>
      <w:r>
        <w:separator/>
      </w:r>
    </w:p>
  </w:endnote>
  <w:endnote w:type="continuationSeparator" w:id="0">
    <w:p w14:paraId="2BA4113A" w14:textId="77777777" w:rsidR="00F55D04" w:rsidRDefault="00F55D04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1EE7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7E66" w14:textId="77777777" w:rsidR="00F55D04" w:rsidRDefault="00F55D04" w:rsidP="0009480D">
      <w:pPr>
        <w:spacing w:after="0" w:line="240" w:lineRule="auto"/>
      </w:pPr>
      <w:r>
        <w:separator/>
      </w:r>
    </w:p>
  </w:footnote>
  <w:footnote w:type="continuationSeparator" w:id="0">
    <w:p w14:paraId="20FDC0CB" w14:textId="77777777" w:rsidR="00F55D04" w:rsidRDefault="00F55D04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157F"/>
    <w:multiLevelType w:val="hybridMultilevel"/>
    <w:tmpl w:val="A7F03FC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0500359"/>
    <w:multiLevelType w:val="hybridMultilevel"/>
    <w:tmpl w:val="38045A78"/>
    <w:lvl w:ilvl="0" w:tplc="041B000F">
      <w:start w:val="1"/>
      <w:numFmt w:val="decimal"/>
      <w:lvlText w:val="%1."/>
      <w:lvlJc w:val="left"/>
      <w:pPr>
        <w:ind w:left="2508" w:hanging="360"/>
      </w:pPr>
    </w:lvl>
    <w:lvl w:ilvl="1" w:tplc="041B0019">
      <w:start w:val="1"/>
      <w:numFmt w:val="lowerLetter"/>
      <w:lvlText w:val="%2."/>
      <w:lvlJc w:val="left"/>
      <w:pPr>
        <w:ind w:left="3228" w:hanging="360"/>
      </w:pPr>
    </w:lvl>
    <w:lvl w:ilvl="2" w:tplc="041B001B" w:tentative="1">
      <w:start w:val="1"/>
      <w:numFmt w:val="lowerRoman"/>
      <w:lvlText w:val="%3."/>
      <w:lvlJc w:val="right"/>
      <w:pPr>
        <w:ind w:left="3948" w:hanging="180"/>
      </w:pPr>
    </w:lvl>
    <w:lvl w:ilvl="3" w:tplc="041B000F" w:tentative="1">
      <w:start w:val="1"/>
      <w:numFmt w:val="decimal"/>
      <w:lvlText w:val="%4."/>
      <w:lvlJc w:val="left"/>
      <w:pPr>
        <w:ind w:left="4668" w:hanging="360"/>
      </w:pPr>
    </w:lvl>
    <w:lvl w:ilvl="4" w:tplc="041B0019" w:tentative="1">
      <w:start w:val="1"/>
      <w:numFmt w:val="lowerLetter"/>
      <w:lvlText w:val="%5."/>
      <w:lvlJc w:val="left"/>
      <w:pPr>
        <w:ind w:left="5388" w:hanging="360"/>
      </w:pPr>
    </w:lvl>
    <w:lvl w:ilvl="5" w:tplc="041B001B" w:tentative="1">
      <w:start w:val="1"/>
      <w:numFmt w:val="lowerRoman"/>
      <w:lvlText w:val="%6."/>
      <w:lvlJc w:val="right"/>
      <w:pPr>
        <w:ind w:left="6108" w:hanging="180"/>
      </w:pPr>
    </w:lvl>
    <w:lvl w:ilvl="6" w:tplc="041B000F" w:tentative="1">
      <w:start w:val="1"/>
      <w:numFmt w:val="decimal"/>
      <w:lvlText w:val="%7."/>
      <w:lvlJc w:val="left"/>
      <w:pPr>
        <w:ind w:left="6828" w:hanging="360"/>
      </w:pPr>
    </w:lvl>
    <w:lvl w:ilvl="7" w:tplc="041B0019" w:tentative="1">
      <w:start w:val="1"/>
      <w:numFmt w:val="lowerLetter"/>
      <w:lvlText w:val="%8."/>
      <w:lvlJc w:val="left"/>
      <w:pPr>
        <w:ind w:left="7548" w:hanging="360"/>
      </w:pPr>
    </w:lvl>
    <w:lvl w:ilvl="8" w:tplc="041B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EF"/>
    <w:rsid w:val="00012CF2"/>
    <w:rsid w:val="0002251D"/>
    <w:rsid w:val="0009480D"/>
    <w:rsid w:val="000D11AA"/>
    <w:rsid w:val="00130860"/>
    <w:rsid w:val="001663B6"/>
    <w:rsid w:val="00173EC2"/>
    <w:rsid w:val="001A694C"/>
    <w:rsid w:val="001D01FE"/>
    <w:rsid w:val="001D5F9F"/>
    <w:rsid w:val="00225679"/>
    <w:rsid w:val="0029339B"/>
    <w:rsid w:val="002B4CD0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772192"/>
    <w:rsid w:val="00782367"/>
    <w:rsid w:val="00787300"/>
    <w:rsid w:val="0091546E"/>
    <w:rsid w:val="009841D6"/>
    <w:rsid w:val="009A6FA0"/>
    <w:rsid w:val="00A719D6"/>
    <w:rsid w:val="00B31C02"/>
    <w:rsid w:val="00B42F36"/>
    <w:rsid w:val="00BA4BE5"/>
    <w:rsid w:val="00C35E8A"/>
    <w:rsid w:val="00C640FF"/>
    <w:rsid w:val="00CA5BEF"/>
    <w:rsid w:val="00CB7C08"/>
    <w:rsid w:val="00D47689"/>
    <w:rsid w:val="00D835BB"/>
    <w:rsid w:val="00F260FA"/>
    <w:rsid w:val="00F55D04"/>
    <w:rsid w:val="00FB5129"/>
    <w:rsid w:val="00FC7F83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BBEE"/>
  <w15:chartTrackingRefBased/>
  <w15:docId w15:val="{A763D388-EBA5-4EBE-B0CB-6C5825BE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character" w:styleId="Hyperlink">
    <w:name w:val="Hyperlink"/>
    <w:basedOn w:val="DefaultParagraphFont"/>
    <w:uiPriority w:val="99"/>
    <w:unhideWhenUsed/>
    <w:rsid w:val="00CA5B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5B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4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7B7E-268A-493B-ACB1-F1A56C33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Peter</dc:creator>
  <cp:keywords/>
  <dc:description/>
  <cp:lastModifiedBy>Michaela</cp:lastModifiedBy>
  <cp:revision>5</cp:revision>
  <dcterms:created xsi:type="dcterms:W3CDTF">2022-01-17T17:25:00Z</dcterms:created>
  <dcterms:modified xsi:type="dcterms:W3CDTF">2022-01-17T20:33:00Z</dcterms:modified>
</cp:coreProperties>
</file>