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BF5" w:rsidRDefault="008725AC" w:rsidP="00F51FBE">
      <w:pPr>
        <w:pStyle w:val="Heading1"/>
        <w:spacing w:before="0"/>
        <w:jc w:val="center"/>
      </w:pPr>
      <w:r>
        <w:t>Informácia o</w:t>
      </w:r>
      <w:r w:rsidR="00425958" w:rsidRPr="004A57C1">
        <w:t xml:space="preserve"> možnosti pripojenia nebankových subjektov do platobn</w:t>
      </w:r>
      <w:r w:rsidR="000147DE">
        <w:t>ých</w:t>
      </w:r>
      <w:r w:rsidR="00425958" w:rsidRPr="004A57C1">
        <w:t xml:space="preserve"> systém</w:t>
      </w:r>
      <w:r w:rsidR="000147DE">
        <w:t>ov</w:t>
      </w:r>
      <w:r w:rsidR="00425958" w:rsidRPr="004A57C1">
        <w:t xml:space="preserve"> </w:t>
      </w:r>
      <w:r w:rsidR="00C97DCD">
        <w:t>v SR</w:t>
      </w:r>
    </w:p>
    <w:p w:rsidR="00056BF5" w:rsidRDefault="00056BF5" w:rsidP="00190ED2">
      <w:pPr>
        <w:spacing w:after="0" w:line="240" w:lineRule="auto"/>
        <w:jc w:val="center"/>
        <w:rPr>
          <w:b/>
          <w:bCs/>
        </w:rPr>
      </w:pPr>
    </w:p>
    <w:p w:rsidR="00056BF5" w:rsidRPr="00BE0886" w:rsidRDefault="00E65DDB" w:rsidP="00F51FBE">
      <w:pPr>
        <w:pStyle w:val="Heading2"/>
      </w:pPr>
      <w:r w:rsidRPr="00BE0886">
        <w:t xml:space="preserve">1. </w:t>
      </w:r>
      <w:r w:rsidR="00190ED2" w:rsidRPr="00BE0886">
        <w:t>Úvod</w:t>
      </w:r>
      <w:r w:rsidR="00D47432" w:rsidRPr="00BE0886">
        <w:t xml:space="preserve"> </w:t>
      </w:r>
      <w:r w:rsidR="000147DE">
        <w:t>a cieľ</w:t>
      </w:r>
    </w:p>
    <w:p w:rsidR="008725AC" w:rsidRDefault="008725AC" w:rsidP="00190ED2">
      <w:pPr>
        <w:spacing w:after="0" w:line="240" w:lineRule="auto"/>
        <w:jc w:val="both"/>
      </w:pPr>
    </w:p>
    <w:p w:rsidR="00CB0CF4" w:rsidRDefault="00CB0CF4" w:rsidP="00190ED2">
      <w:pPr>
        <w:spacing w:after="0" w:line="240" w:lineRule="auto"/>
        <w:jc w:val="both"/>
      </w:pPr>
      <w:r w:rsidRPr="00BE0886">
        <w:t>Niektoré členské štáty E</w:t>
      </w:r>
      <w:r w:rsidR="00C56822" w:rsidRPr="00BE0886">
        <w:t>urópskej únie</w:t>
      </w:r>
      <w:r w:rsidR="0052038B" w:rsidRPr="00BE0886">
        <w:t xml:space="preserve"> („EÚ“)</w:t>
      </w:r>
      <w:r w:rsidR="00C56822" w:rsidRPr="00BE0886">
        <w:t xml:space="preserve"> </w:t>
      </w:r>
      <w:r w:rsidRPr="00BE0886">
        <w:t xml:space="preserve"> umožňujú prístup do svojich </w:t>
      </w:r>
      <w:proofErr w:type="spellStart"/>
      <w:r w:rsidRPr="00BE0886">
        <w:t>retailových</w:t>
      </w:r>
      <w:proofErr w:type="spellEnd"/>
      <w:r w:rsidRPr="00BE0886">
        <w:t xml:space="preserve"> platobných systémov ale aj </w:t>
      </w:r>
      <w:r w:rsidR="008B45E6">
        <w:t>nebankovým subjektom</w:t>
      </w:r>
      <w:r w:rsidRPr="00BE0886">
        <w:t xml:space="preserve">. </w:t>
      </w:r>
      <w:r w:rsidR="0076563C" w:rsidRPr="00BE0886">
        <w:t xml:space="preserve">Európska centrálna banka vykonala </w:t>
      </w:r>
      <w:r w:rsidR="0023455F" w:rsidRPr="00BE0886">
        <w:t xml:space="preserve">v tejto </w:t>
      </w:r>
      <w:r w:rsidR="00F630ED">
        <w:t>súvislosti</w:t>
      </w:r>
      <w:r w:rsidR="00F630ED" w:rsidRPr="00BE0886">
        <w:t xml:space="preserve"> </w:t>
      </w:r>
      <w:r w:rsidR="0076563C" w:rsidRPr="00BE0886">
        <w:t>pr</w:t>
      </w:r>
      <w:r w:rsidR="000D006E" w:rsidRPr="00BE0886">
        <w:t>i</w:t>
      </w:r>
      <w:r w:rsidR="0076563C" w:rsidRPr="00BE0886">
        <w:t>esk</w:t>
      </w:r>
      <w:r w:rsidR="004C5AD4" w:rsidRPr="00BE0886">
        <w:t>u</w:t>
      </w:r>
      <w:r w:rsidR="0076563C" w:rsidRPr="00BE0886">
        <w:t>m</w:t>
      </w:r>
      <w:r w:rsidR="00357B44" w:rsidRPr="00BE0886">
        <w:t xml:space="preserve"> (výsledky </w:t>
      </w:r>
      <w:r w:rsidR="00F630ED">
        <w:t>sú neverejné</w:t>
      </w:r>
      <w:r w:rsidR="00357B44" w:rsidRPr="00BE0886">
        <w:t>)</w:t>
      </w:r>
      <w:r w:rsidR="0076563C" w:rsidRPr="00BE0886">
        <w:t>,</w:t>
      </w:r>
      <w:r w:rsidR="0023455F" w:rsidRPr="00BE0886">
        <w:t xml:space="preserve"> ktorý preukázal, že</w:t>
      </w:r>
      <w:r w:rsidR="006F7579" w:rsidRPr="00BE0886">
        <w:t xml:space="preserve"> </w:t>
      </w:r>
      <w:r w:rsidR="0023455F" w:rsidRPr="00BE0886">
        <w:t>š</w:t>
      </w:r>
      <w:r w:rsidR="0076563C" w:rsidRPr="00BE0886">
        <w:t>tyri krajiny (</w:t>
      </w:r>
      <w:r w:rsidR="0076563C" w:rsidRPr="00F65F1F">
        <w:t>IE, HU, RO, UK</w:t>
      </w:r>
      <w:r w:rsidR="0076563C" w:rsidRPr="00BE0886">
        <w:t>)</w:t>
      </w:r>
      <w:r w:rsidR="0023455F" w:rsidRPr="00BE0886">
        <w:rPr>
          <w:rStyle w:val="FootnoteReference"/>
        </w:rPr>
        <w:footnoteReference w:id="1"/>
      </w:r>
      <w:r w:rsidR="0076563C" w:rsidRPr="00BE0886">
        <w:t xml:space="preserve"> umožňujú prístup</w:t>
      </w:r>
      <w:r w:rsidR="006125B1">
        <w:t xml:space="preserve"> do </w:t>
      </w:r>
      <w:r w:rsidR="00F630ED">
        <w:t xml:space="preserve">svojho </w:t>
      </w:r>
      <w:proofErr w:type="spellStart"/>
      <w:r w:rsidR="008725AC">
        <w:t>retailového</w:t>
      </w:r>
      <w:proofErr w:type="spellEnd"/>
      <w:r w:rsidR="008725AC">
        <w:t xml:space="preserve"> </w:t>
      </w:r>
      <w:r w:rsidR="006125B1">
        <w:t>platobného systému</w:t>
      </w:r>
      <w:r w:rsidR="008B45E6">
        <w:t xml:space="preserve"> za splnenia</w:t>
      </w:r>
      <w:r w:rsidR="0076563C" w:rsidRPr="00BE0886">
        <w:t xml:space="preserve"> </w:t>
      </w:r>
      <w:r w:rsidR="008B45E6">
        <w:t>určitých</w:t>
      </w:r>
      <w:r w:rsidR="0076563C" w:rsidRPr="00BE0886">
        <w:t xml:space="preserve"> požiadav</w:t>
      </w:r>
      <w:r w:rsidR="008B45E6">
        <w:t>ie</w:t>
      </w:r>
      <w:r w:rsidR="0076563C" w:rsidRPr="00BE0886">
        <w:t>k.</w:t>
      </w:r>
      <w:r w:rsidR="008725AC">
        <w:t xml:space="preserve"> </w:t>
      </w:r>
    </w:p>
    <w:p w:rsidR="008725AC" w:rsidRPr="00BE0886" w:rsidRDefault="008725AC" w:rsidP="00190ED2">
      <w:pPr>
        <w:spacing w:after="0" w:line="240" w:lineRule="auto"/>
        <w:jc w:val="both"/>
      </w:pPr>
    </w:p>
    <w:p w:rsidR="008725AC" w:rsidRDefault="008725AC" w:rsidP="008725AC">
      <w:pPr>
        <w:spacing w:after="0" w:line="240" w:lineRule="auto"/>
        <w:jc w:val="both"/>
      </w:pPr>
      <w:r w:rsidRPr="000147DE">
        <w:t>Cieľom materiálu</w:t>
      </w:r>
      <w:r>
        <w:t xml:space="preserve"> je opísať aktuálny stav v</w:t>
      </w:r>
      <w:r w:rsidR="008B45E6">
        <w:t> </w:t>
      </w:r>
      <w:r>
        <w:t>SR</w:t>
      </w:r>
      <w:r w:rsidR="008B45E6">
        <w:t xml:space="preserve"> a perspektívu jeho vývoja</w:t>
      </w:r>
      <w:r>
        <w:t>.</w:t>
      </w:r>
    </w:p>
    <w:p w:rsidR="00D47432" w:rsidRPr="00BE0886" w:rsidRDefault="00D47432" w:rsidP="00190ED2">
      <w:pPr>
        <w:spacing w:after="0" w:line="240" w:lineRule="auto"/>
        <w:jc w:val="both"/>
      </w:pPr>
    </w:p>
    <w:p w:rsidR="00B04688" w:rsidRPr="00BE0886" w:rsidRDefault="00E65DDB" w:rsidP="00F51FBE">
      <w:pPr>
        <w:pStyle w:val="Heading2"/>
      </w:pPr>
      <w:r w:rsidRPr="00BE0886">
        <w:t xml:space="preserve">2. </w:t>
      </w:r>
      <w:r w:rsidR="00B04688" w:rsidRPr="00BE0886">
        <w:t>Právn</w:t>
      </w:r>
      <w:r w:rsidR="00135048">
        <w:t xml:space="preserve">y stav </w:t>
      </w:r>
    </w:p>
    <w:p w:rsidR="00900839" w:rsidRPr="00BE0886" w:rsidRDefault="00B04688" w:rsidP="00190ED2">
      <w:pPr>
        <w:spacing w:after="0" w:line="240" w:lineRule="auto"/>
        <w:jc w:val="both"/>
      </w:pPr>
      <w:r w:rsidRPr="00BE0886">
        <w:t xml:space="preserve">Základný </w:t>
      </w:r>
      <w:r w:rsidR="00AA492C" w:rsidRPr="00BE0886">
        <w:t xml:space="preserve">právny </w:t>
      </w:r>
      <w:r w:rsidRPr="00BE0886">
        <w:t xml:space="preserve">rámec </w:t>
      </w:r>
      <w:r w:rsidR="008B45E6">
        <w:t>pre</w:t>
      </w:r>
      <w:r w:rsidRPr="00BE0886">
        <w:t xml:space="preserve"> platobn</w:t>
      </w:r>
      <w:r w:rsidR="008B45E6">
        <w:t>é</w:t>
      </w:r>
      <w:r w:rsidRPr="00BE0886">
        <w:t xml:space="preserve"> systém</w:t>
      </w:r>
      <w:r w:rsidR="008B45E6">
        <w:t>y</w:t>
      </w:r>
      <w:r w:rsidRPr="00BE0886">
        <w:t xml:space="preserve"> </w:t>
      </w:r>
      <w:r w:rsidR="008B45E6">
        <w:t>v</w:t>
      </w:r>
      <w:r w:rsidRPr="00BE0886">
        <w:t xml:space="preserve"> </w:t>
      </w:r>
      <w:r w:rsidR="00364310" w:rsidRPr="00BE0886">
        <w:t>EÚ</w:t>
      </w:r>
      <w:r w:rsidR="00DC4544">
        <w:t xml:space="preserve"> </w:t>
      </w:r>
      <w:r w:rsidR="00CA64CD" w:rsidRPr="00BE0886">
        <w:t xml:space="preserve">je </w:t>
      </w:r>
      <w:r w:rsidR="00D47432" w:rsidRPr="00BE0886">
        <w:t xml:space="preserve">súčasťou </w:t>
      </w:r>
      <w:r w:rsidR="00900839" w:rsidRPr="00BE0886">
        <w:t>nasledovných smerníc:</w:t>
      </w:r>
    </w:p>
    <w:p w:rsidR="00F11A90" w:rsidRPr="00685930" w:rsidRDefault="00AA492C" w:rsidP="008158D1">
      <w:pPr>
        <w:pStyle w:val="ListParagraph"/>
        <w:numPr>
          <w:ilvl w:val="0"/>
          <w:numId w:val="2"/>
        </w:numPr>
        <w:spacing w:after="0" w:line="240" w:lineRule="auto"/>
        <w:jc w:val="both"/>
        <w:rPr>
          <w:szCs w:val="22"/>
        </w:rPr>
      </w:pPr>
      <w:r w:rsidRPr="00685930">
        <w:rPr>
          <w:b/>
          <w:bCs/>
          <w:szCs w:val="22"/>
        </w:rPr>
        <w:t>PSD2</w:t>
      </w:r>
      <w:r w:rsidR="00F65F1F" w:rsidRPr="00685930">
        <w:rPr>
          <w:b/>
          <w:bCs/>
          <w:szCs w:val="22"/>
        </w:rPr>
        <w:t xml:space="preserve"> </w:t>
      </w:r>
      <w:r w:rsidR="00F65F1F" w:rsidRPr="00685930">
        <w:rPr>
          <w:szCs w:val="22"/>
        </w:rPr>
        <w:t>(</w:t>
      </w:r>
      <w:proofErr w:type="spellStart"/>
      <w:r w:rsidR="00F65F1F" w:rsidRPr="00685930">
        <w:rPr>
          <w:szCs w:val="22"/>
        </w:rPr>
        <w:t>Payment</w:t>
      </w:r>
      <w:proofErr w:type="spellEnd"/>
      <w:r w:rsidR="00F65F1F" w:rsidRPr="00685930">
        <w:rPr>
          <w:szCs w:val="22"/>
        </w:rPr>
        <w:t xml:space="preserve"> </w:t>
      </w:r>
      <w:proofErr w:type="spellStart"/>
      <w:r w:rsidR="00F65F1F" w:rsidRPr="00685930">
        <w:rPr>
          <w:szCs w:val="22"/>
        </w:rPr>
        <w:t>Services</w:t>
      </w:r>
      <w:proofErr w:type="spellEnd"/>
      <w:r w:rsidR="00F65F1F" w:rsidRPr="00685930">
        <w:rPr>
          <w:szCs w:val="22"/>
        </w:rPr>
        <w:t xml:space="preserve"> </w:t>
      </w:r>
      <w:proofErr w:type="spellStart"/>
      <w:r w:rsidR="00F65F1F" w:rsidRPr="00685930">
        <w:rPr>
          <w:szCs w:val="22"/>
        </w:rPr>
        <w:t>Directive</w:t>
      </w:r>
      <w:proofErr w:type="spellEnd"/>
      <w:r w:rsidR="00F65F1F" w:rsidRPr="00685930">
        <w:rPr>
          <w:szCs w:val="22"/>
        </w:rPr>
        <w:t>)</w:t>
      </w:r>
      <w:r w:rsidR="00900839" w:rsidRPr="00685930">
        <w:rPr>
          <w:rStyle w:val="FootnoteReference"/>
          <w:bCs/>
          <w:szCs w:val="22"/>
        </w:rPr>
        <w:footnoteReference w:id="2"/>
      </w:r>
      <w:r w:rsidRPr="00685930">
        <w:rPr>
          <w:szCs w:val="22"/>
        </w:rPr>
        <w:t xml:space="preserve"> </w:t>
      </w:r>
      <w:r w:rsidR="00900839" w:rsidRPr="00685930">
        <w:rPr>
          <w:szCs w:val="22"/>
        </w:rPr>
        <w:t xml:space="preserve"> -</w:t>
      </w:r>
      <w:r w:rsidR="00751123" w:rsidRPr="00685930">
        <w:rPr>
          <w:b/>
          <w:bCs/>
          <w:szCs w:val="22"/>
        </w:rPr>
        <w:t xml:space="preserve"> </w:t>
      </w:r>
      <w:r w:rsidR="00751123" w:rsidRPr="00685930">
        <w:rPr>
          <w:szCs w:val="22"/>
        </w:rPr>
        <w:t xml:space="preserve">vymedzuje platobné systémy vo všeobecnej rovine. </w:t>
      </w:r>
      <w:r w:rsidR="0023455F" w:rsidRPr="00685930">
        <w:rPr>
          <w:szCs w:val="22"/>
        </w:rPr>
        <w:t>Č</w:t>
      </w:r>
      <w:r w:rsidR="00BC6645" w:rsidRPr="00685930">
        <w:rPr>
          <w:szCs w:val="22"/>
        </w:rPr>
        <w:t xml:space="preserve">lenským štátom </w:t>
      </w:r>
      <w:r w:rsidR="006F7579" w:rsidRPr="00685930">
        <w:rPr>
          <w:szCs w:val="22"/>
        </w:rPr>
        <w:t xml:space="preserve">EÚ </w:t>
      </w:r>
      <w:r w:rsidR="008B45E6" w:rsidRPr="00685930">
        <w:rPr>
          <w:szCs w:val="22"/>
        </w:rPr>
        <w:t>v</w:t>
      </w:r>
      <w:r w:rsidR="006F05E9" w:rsidRPr="00685930">
        <w:rPr>
          <w:szCs w:val="22"/>
        </w:rPr>
        <w:t xml:space="preserve"> </w:t>
      </w:r>
      <w:r w:rsidR="00F11A90" w:rsidRPr="00685930">
        <w:rPr>
          <w:szCs w:val="22"/>
        </w:rPr>
        <w:t xml:space="preserve">čl. 35 </w:t>
      </w:r>
      <w:r w:rsidR="006F05E9" w:rsidRPr="00685930">
        <w:rPr>
          <w:szCs w:val="22"/>
        </w:rPr>
        <w:t xml:space="preserve">ukladá </w:t>
      </w:r>
      <w:r w:rsidR="00364310" w:rsidRPr="00685930">
        <w:rPr>
          <w:szCs w:val="22"/>
        </w:rPr>
        <w:t xml:space="preserve">povinnosť </w:t>
      </w:r>
      <w:r w:rsidR="00BC6645" w:rsidRPr="00685930">
        <w:rPr>
          <w:szCs w:val="22"/>
        </w:rPr>
        <w:t>zabezpečiť</w:t>
      </w:r>
      <w:r w:rsidR="00425770" w:rsidRPr="00685930">
        <w:rPr>
          <w:szCs w:val="22"/>
        </w:rPr>
        <w:t xml:space="preserve"> objektívny a nediskriminačný prístup</w:t>
      </w:r>
      <w:r w:rsidR="00452B7B" w:rsidRPr="00685930">
        <w:rPr>
          <w:szCs w:val="22"/>
        </w:rPr>
        <w:t xml:space="preserve"> pre </w:t>
      </w:r>
      <w:r w:rsidR="000B7579" w:rsidRPr="00685930">
        <w:rPr>
          <w:szCs w:val="22"/>
        </w:rPr>
        <w:t xml:space="preserve">všetkých </w:t>
      </w:r>
      <w:r w:rsidR="00452B7B" w:rsidRPr="00685930">
        <w:rPr>
          <w:szCs w:val="22"/>
        </w:rPr>
        <w:t>poskytovateľov platobných služieb (napríklad banky, platobné inštitúcie atď.)</w:t>
      </w:r>
      <w:r w:rsidR="00425770" w:rsidRPr="00685930">
        <w:rPr>
          <w:szCs w:val="22"/>
        </w:rPr>
        <w:t xml:space="preserve"> do platobného systému, </w:t>
      </w:r>
      <w:r w:rsidR="00F11A90" w:rsidRPr="00685930">
        <w:rPr>
          <w:szCs w:val="22"/>
        </w:rPr>
        <w:t>avšak toto pravidlo sa nevzťahuje na</w:t>
      </w:r>
      <w:r w:rsidR="00425770" w:rsidRPr="00685930">
        <w:rPr>
          <w:szCs w:val="22"/>
        </w:rPr>
        <w:t xml:space="preserve"> </w:t>
      </w:r>
      <w:r w:rsidR="00F11A90" w:rsidRPr="00685930">
        <w:rPr>
          <w:szCs w:val="22"/>
        </w:rPr>
        <w:t xml:space="preserve">platobné systémy </w:t>
      </w:r>
      <w:r w:rsidR="00425770" w:rsidRPr="00685930">
        <w:rPr>
          <w:szCs w:val="22"/>
        </w:rPr>
        <w:t>podľa smernice SFD</w:t>
      </w:r>
      <w:r w:rsidR="00F11A90" w:rsidRPr="00685930">
        <w:rPr>
          <w:szCs w:val="22"/>
        </w:rPr>
        <w:t xml:space="preserve"> (v SR najmä TARGET2- SK a SIPS)</w:t>
      </w:r>
      <w:r w:rsidR="00F11A90" w:rsidRPr="00685930">
        <w:rPr>
          <w:rStyle w:val="FootnoteReference"/>
          <w:szCs w:val="22"/>
        </w:rPr>
        <w:footnoteReference w:id="3"/>
      </w:r>
      <w:r w:rsidR="00452B7B" w:rsidRPr="00685930">
        <w:rPr>
          <w:szCs w:val="22"/>
        </w:rPr>
        <w:t xml:space="preserve">. </w:t>
      </w:r>
    </w:p>
    <w:p w:rsidR="00540F66" w:rsidRPr="00685930" w:rsidRDefault="00452B7B" w:rsidP="009A1F4F">
      <w:pPr>
        <w:pStyle w:val="ListParagraph"/>
        <w:numPr>
          <w:ilvl w:val="0"/>
          <w:numId w:val="2"/>
        </w:numPr>
        <w:spacing w:after="0" w:line="240" w:lineRule="auto"/>
        <w:jc w:val="both"/>
        <w:rPr>
          <w:szCs w:val="22"/>
        </w:rPr>
      </w:pPr>
      <w:r w:rsidRPr="00685930">
        <w:rPr>
          <w:b/>
          <w:bCs/>
          <w:szCs w:val="22"/>
        </w:rPr>
        <w:t>SFD</w:t>
      </w:r>
      <w:r w:rsidR="008B45E6" w:rsidRPr="00685930">
        <w:rPr>
          <w:b/>
          <w:bCs/>
          <w:szCs w:val="22"/>
        </w:rPr>
        <w:t xml:space="preserve"> </w:t>
      </w:r>
      <w:r w:rsidR="008B45E6" w:rsidRPr="00685930">
        <w:rPr>
          <w:szCs w:val="22"/>
        </w:rPr>
        <w:t>(</w:t>
      </w:r>
      <w:proofErr w:type="spellStart"/>
      <w:r w:rsidR="008B45E6" w:rsidRPr="00685930">
        <w:rPr>
          <w:szCs w:val="22"/>
        </w:rPr>
        <w:t>Settlement</w:t>
      </w:r>
      <w:proofErr w:type="spellEnd"/>
      <w:r w:rsidR="008B45E6" w:rsidRPr="00685930">
        <w:rPr>
          <w:szCs w:val="22"/>
        </w:rPr>
        <w:t xml:space="preserve"> </w:t>
      </w:r>
      <w:proofErr w:type="spellStart"/>
      <w:r w:rsidR="008B45E6" w:rsidRPr="00685930">
        <w:rPr>
          <w:szCs w:val="22"/>
        </w:rPr>
        <w:t>Finality</w:t>
      </w:r>
      <w:proofErr w:type="spellEnd"/>
      <w:r w:rsidR="008B45E6" w:rsidRPr="00685930">
        <w:rPr>
          <w:szCs w:val="22"/>
        </w:rPr>
        <w:t xml:space="preserve"> </w:t>
      </w:r>
      <w:proofErr w:type="spellStart"/>
      <w:r w:rsidR="008B45E6" w:rsidRPr="00685930">
        <w:rPr>
          <w:szCs w:val="22"/>
        </w:rPr>
        <w:t>Directive</w:t>
      </w:r>
      <w:proofErr w:type="spellEnd"/>
      <w:r w:rsidR="008B45E6" w:rsidRPr="00685930">
        <w:rPr>
          <w:szCs w:val="22"/>
        </w:rPr>
        <w:t>)</w:t>
      </w:r>
      <w:r w:rsidR="009F3397" w:rsidRPr="00685930">
        <w:rPr>
          <w:rStyle w:val="FootnoteReference"/>
          <w:szCs w:val="22"/>
        </w:rPr>
        <w:footnoteReference w:id="4"/>
      </w:r>
      <w:r w:rsidRPr="00685930">
        <w:rPr>
          <w:szCs w:val="22"/>
        </w:rPr>
        <w:t xml:space="preserve"> upravuje platobné systémy a</w:t>
      </w:r>
      <w:r w:rsidR="00425770" w:rsidRPr="00685930">
        <w:rPr>
          <w:szCs w:val="22"/>
        </w:rPr>
        <w:t xml:space="preserve"> systémy  vyrovnania </w:t>
      </w:r>
      <w:r w:rsidR="00832E25" w:rsidRPr="00685930">
        <w:rPr>
          <w:szCs w:val="22"/>
        </w:rPr>
        <w:t xml:space="preserve">transakcií </w:t>
      </w:r>
      <w:r w:rsidR="00425770" w:rsidRPr="00685930">
        <w:rPr>
          <w:szCs w:val="22"/>
        </w:rPr>
        <w:t xml:space="preserve">s </w:t>
      </w:r>
      <w:r w:rsidRPr="00685930">
        <w:rPr>
          <w:szCs w:val="22"/>
        </w:rPr>
        <w:t>cenný</w:t>
      </w:r>
      <w:r w:rsidR="00425770" w:rsidRPr="00685930">
        <w:rPr>
          <w:szCs w:val="22"/>
        </w:rPr>
        <w:t>mi</w:t>
      </w:r>
      <w:r w:rsidRPr="00685930">
        <w:rPr>
          <w:szCs w:val="22"/>
        </w:rPr>
        <w:t xml:space="preserve"> papier</w:t>
      </w:r>
      <w:r w:rsidR="00425770" w:rsidRPr="00685930">
        <w:rPr>
          <w:szCs w:val="22"/>
        </w:rPr>
        <w:t>mi</w:t>
      </w:r>
      <w:r w:rsidRPr="00685930">
        <w:rPr>
          <w:szCs w:val="22"/>
        </w:rPr>
        <w:t xml:space="preserve">. Ide o komplexnú úpravu </w:t>
      </w:r>
      <w:r w:rsidR="00F11A90" w:rsidRPr="00685930">
        <w:rPr>
          <w:szCs w:val="22"/>
        </w:rPr>
        <w:t xml:space="preserve">tzv. systémovo dôležitých </w:t>
      </w:r>
      <w:r w:rsidRPr="00685930">
        <w:rPr>
          <w:szCs w:val="22"/>
        </w:rPr>
        <w:t>platobných systémov.</w:t>
      </w:r>
      <w:r w:rsidR="00832E25" w:rsidRPr="00685930">
        <w:rPr>
          <w:szCs w:val="22"/>
        </w:rPr>
        <w:t xml:space="preserve"> Smernica </w:t>
      </w:r>
      <w:r w:rsidR="00364310" w:rsidRPr="00685930">
        <w:rPr>
          <w:szCs w:val="22"/>
        </w:rPr>
        <w:t xml:space="preserve">SFD </w:t>
      </w:r>
      <w:r w:rsidR="00F65F1F" w:rsidRPr="00685930">
        <w:rPr>
          <w:szCs w:val="22"/>
        </w:rPr>
        <w:t xml:space="preserve">neuvádza </w:t>
      </w:r>
      <w:r w:rsidR="00832E25" w:rsidRPr="00685930">
        <w:rPr>
          <w:szCs w:val="22"/>
        </w:rPr>
        <w:t xml:space="preserve">platobné inštitúcie a inštitúcie elektronických peňazí </w:t>
      </w:r>
      <w:r w:rsidR="00F65F1F" w:rsidRPr="00685930">
        <w:rPr>
          <w:szCs w:val="22"/>
        </w:rPr>
        <w:t>medzi subjektami, ktoré</w:t>
      </w:r>
      <w:r w:rsidR="00832E25" w:rsidRPr="00685930">
        <w:rPr>
          <w:szCs w:val="22"/>
        </w:rPr>
        <w:t xml:space="preserve"> </w:t>
      </w:r>
      <w:r w:rsidR="00F65F1F" w:rsidRPr="00685930">
        <w:rPr>
          <w:szCs w:val="22"/>
        </w:rPr>
        <w:t xml:space="preserve">môžu byť </w:t>
      </w:r>
      <w:r w:rsidR="00832E25" w:rsidRPr="00685930">
        <w:rPr>
          <w:szCs w:val="22"/>
        </w:rPr>
        <w:t>účastník</w:t>
      </w:r>
      <w:r w:rsidR="00F65F1F" w:rsidRPr="00685930">
        <w:rPr>
          <w:szCs w:val="22"/>
        </w:rPr>
        <w:t>om</w:t>
      </w:r>
      <w:r w:rsidR="00832E25" w:rsidRPr="00685930">
        <w:rPr>
          <w:szCs w:val="22"/>
        </w:rPr>
        <w:t xml:space="preserve"> takéhoto platobného systému</w:t>
      </w:r>
      <w:r w:rsidR="00135048" w:rsidRPr="00685930">
        <w:rPr>
          <w:szCs w:val="22"/>
        </w:rPr>
        <w:t>.</w:t>
      </w:r>
      <w:r w:rsidR="001471C5" w:rsidRPr="00685930">
        <w:rPr>
          <w:szCs w:val="22"/>
        </w:rPr>
        <w:t xml:space="preserve"> </w:t>
      </w:r>
      <w:r w:rsidR="00062E5C" w:rsidRPr="00685930">
        <w:rPr>
          <w:szCs w:val="22"/>
        </w:rPr>
        <w:t xml:space="preserve"> </w:t>
      </w:r>
    </w:p>
    <w:p w:rsidR="00540F66" w:rsidRPr="00685930" w:rsidRDefault="00540F66" w:rsidP="00364310">
      <w:pPr>
        <w:spacing w:after="0" w:line="240" w:lineRule="auto"/>
        <w:ind w:left="360"/>
        <w:jc w:val="both"/>
        <w:rPr>
          <w:szCs w:val="22"/>
        </w:rPr>
      </w:pPr>
    </w:p>
    <w:p w:rsidR="000C11E8" w:rsidRPr="00685930" w:rsidRDefault="000C11E8" w:rsidP="000C11E8">
      <w:pPr>
        <w:spacing w:after="0" w:line="240" w:lineRule="auto"/>
        <w:jc w:val="both"/>
        <w:rPr>
          <w:rFonts w:cstheme="minorHAnsi"/>
          <w:bCs/>
          <w:szCs w:val="22"/>
        </w:rPr>
      </w:pPr>
      <w:r w:rsidRPr="00685930">
        <w:rPr>
          <w:bCs/>
          <w:szCs w:val="22"/>
        </w:rPr>
        <w:t xml:space="preserve">Európska centrálna banka vo svojom stanovisku (CON/2011/14), ktoré vypracovala na základe žiadosti Ministerstva financií Litvy k transpozícii novelizovaného znenia SFD (smernica 2009/44/EC) poukazuje na nemožnosť účasti platobných inštitúcií a  inštitúcii elektronických </w:t>
      </w:r>
      <w:r w:rsidRPr="00685930">
        <w:rPr>
          <w:rFonts w:cstheme="minorHAnsi"/>
          <w:bCs/>
          <w:szCs w:val="22"/>
        </w:rPr>
        <w:t>peňazí v platobných systémoch spadajúcich pod SFD.</w:t>
      </w:r>
      <w:r w:rsidR="00C76418" w:rsidRPr="00685930">
        <w:rPr>
          <w:rFonts w:cstheme="minorHAnsi"/>
          <w:bCs/>
          <w:szCs w:val="22"/>
        </w:rPr>
        <w:t xml:space="preserve"> </w:t>
      </w:r>
      <w:r w:rsidRPr="00685930">
        <w:rPr>
          <w:rFonts w:cstheme="minorHAnsi"/>
          <w:bCs/>
          <w:szCs w:val="22"/>
        </w:rPr>
        <w:t xml:space="preserve">Vo svojom stanovisku ECB jednoznačne konštatuje, že SFD nevymedzuje platobnú inštitúciu alebo inštitúciu elektronických peňazí ako „inštitúciu“, ktorá môže byť účastníkom v platobnom systéme podľa SFD. </w:t>
      </w:r>
    </w:p>
    <w:p w:rsidR="000C11E8" w:rsidRPr="00685930" w:rsidRDefault="000C11E8" w:rsidP="00190ED2">
      <w:pPr>
        <w:spacing w:after="0" w:line="240" w:lineRule="auto"/>
        <w:jc w:val="both"/>
        <w:rPr>
          <w:rFonts w:cstheme="minorHAnsi"/>
          <w:b/>
          <w:bCs/>
          <w:szCs w:val="22"/>
          <w:highlight w:val="green"/>
        </w:rPr>
      </w:pPr>
    </w:p>
    <w:p w:rsidR="00E045AD" w:rsidRPr="00685930" w:rsidRDefault="00E045AD" w:rsidP="00E045AD">
      <w:pPr>
        <w:pStyle w:val="Normal1"/>
        <w:shd w:val="clear" w:color="auto" w:fill="FFFFFF"/>
        <w:spacing w:before="0" w:beforeAutospacing="0" w:after="0" w:afterAutospacing="0"/>
        <w:jc w:val="both"/>
        <w:textAlignment w:val="baseline"/>
        <w:rPr>
          <w:rFonts w:ascii="Cambria" w:hAnsi="Cambria"/>
          <w:color w:val="000000"/>
          <w:sz w:val="22"/>
          <w:szCs w:val="22"/>
        </w:rPr>
      </w:pPr>
      <w:r w:rsidRPr="00685930">
        <w:rPr>
          <w:rFonts w:ascii="Cambria" w:hAnsi="Cambria" w:cstheme="minorHAnsi"/>
          <w:color w:val="000000"/>
          <w:sz w:val="22"/>
          <w:szCs w:val="22"/>
          <w:shd w:val="clear" w:color="auto" w:fill="FFFFFF"/>
        </w:rPr>
        <w:t xml:space="preserve">Dňa 24. 9. 2020 Európska Komisia zverejnila Stratégiu pre </w:t>
      </w:r>
      <w:proofErr w:type="spellStart"/>
      <w:r w:rsidRPr="00685930">
        <w:rPr>
          <w:rFonts w:ascii="Cambria" w:hAnsi="Cambria" w:cstheme="minorHAnsi"/>
          <w:color w:val="000000"/>
          <w:sz w:val="22"/>
          <w:szCs w:val="22"/>
          <w:shd w:val="clear" w:color="auto" w:fill="FFFFFF"/>
        </w:rPr>
        <w:t>retailové</w:t>
      </w:r>
      <w:proofErr w:type="spellEnd"/>
      <w:r w:rsidRPr="00685930">
        <w:rPr>
          <w:rFonts w:ascii="Cambria" w:hAnsi="Cambria" w:cstheme="minorHAnsi"/>
          <w:color w:val="000000"/>
          <w:sz w:val="22"/>
          <w:szCs w:val="22"/>
          <w:shd w:val="clear" w:color="auto" w:fill="FFFFFF"/>
        </w:rPr>
        <w:t xml:space="preserve"> platby</w:t>
      </w:r>
      <w:r w:rsidRPr="00685930">
        <w:rPr>
          <w:rStyle w:val="FootnoteReference"/>
          <w:rFonts w:ascii="Cambria" w:hAnsi="Cambria" w:cstheme="minorHAnsi"/>
          <w:color w:val="000000"/>
          <w:sz w:val="22"/>
          <w:szCs w:val="22"/>
          <w:shd w:val="clear" w:color="auto" w:fill="FFFFFF"/>
        </w:rPr>
        <w:footnoteReference w:id="5"/>
      </w:r>
      <w:r w:rsidRPr="00685930">
        <w:rPr>
          <w:rFonts w:ascii="Cambria" w:hAnsi="Cambria" w:cstheme="minorHAnsi"/>
          <w:color w:val="000000"/>
          <w:sz w:val="22"/>
          <w:szCs w:val="22"/>
          <w:shd w:val="clear" w:color="auto" w:fill="FFFFFF"/>
        </w:rPr>
        <w:t xml:space="preserve">, v ktorej konštatuje, že </w:t>
      </w:r>
      <w:r w:rsidRPr="00685930">
        <w:rPr>
          <w:rFonts w:ascii="Cambria" w:hAnsi="Cambria" w:cstheme="minorHAnsi"/>
          <w:i/>
          <w:iCs/>
          <w:color w:val="000000"/>
          <w:sz w:val="22"/>
          <w:szCs w:val="22"/>
          <w:shd w:val="clear" w:color="auto" w:fill="FFFFFF"/>
        </w:rPr>
        <w:t>„</w:t>
      </w:r>
      <w:r w:rsidRPr="00685930">
        <w:rPr>
          <w:rFonts w:ascii="Cambria" w:hAnsi="Cambria" w:cstheme="minorHAnsi"/>
          <w:i/>
          <w:iCs/>
          <w:color w:val="000000"/>
          <w:sz w:val="22"/>
          <w:szCs w:val="22"/>
          <w:shd w:val="clear" w:color="auto" w:fill="FFFFFF"/>
          <w:lang w:val="en-GB"/>
        </w:rPr>
        <w:t>[p]</w:t>
      </w:r>
      <w:proofErr w:type="spellStart"/>
      <w:r w:rsidRPr="00685930">
        <w:rPr>
          <w:rFonts w:ascii="Cambria" w:hAnsi="Cambria" w:cstheme="minorHAnsi"/>
          <w:i/>
          <w:iCs/>
          <w:color w:val="000000"/>
          <w:sz w:val="22"/>
          <w:szCs w:val="22"/>
          <w:shd w:val="clear" w:color="auto" w:fill="FFFFFF"/>
        </w:rPr>
        <w:t>rístup</w:t>
      </w:r>
      <w:proofErr w:type="spellEnd"/>
      <w:r w:rsidRPr="00685930">
        <w:rPr>
          <w:rFonts w:ascii="Cambria" w:hAnsi="Cambria" w:cstheme="minorHAnsi"/>
          <w:i/>
          <w:iCs/>
          <w:color w:val="000000"/>
          <w:sz w:val="22"/>
          <w:szCs w:val="22"/>
          <w:shd w:val="clear" w:color="auto" w:fill="FFFFFF"/>
        </w:rPr>
        <w:t xml:space="preserve"> k platobným systémom je nevyhnutný pre efektívnu hospodársku súťaž a inovácie na trhu s platobnými systémami. Keďže platobné inštitúcie a inštitúcie</w:t>
      </w:r>
      <w:r w:rsidRPr="00685930">
        <w:rPr>
          <w:rFonts w:ascii="Cambria" w:hAnsi="Cambria"/>
          <w:i/>
          <w:iCs/>
          <w:color w:val="000000"/>
          <w:sz w:val="22"/>
          <w:szCs w:val="22"/>
          <w:shd w:val="clear" w:color="auto" w:fill="FFFFFF"/>
        </w:rPr>
        <w:t xml:space="preserve"> elektronických peňazí súťažia s bankami o poskytovanie platobných služieb a prispievajú k inováciám na trhu s platbami, je dôležité zaručiť, aby mali všetky subjekty spravodlivý, otvorený a transparentný prístup k platobným systémom.“</w:t>
      </w:r>
      <w:r w:rsidRPr="00685930">
        <w:rPr>
          <w:rFonts w:ascii="Cambria" w:hAnsi="Cambria"/>
          <w:color w:val="000000"/>
          <w:sz w:val="22"/>
          <w:szCs w:val="22"/>
          <w:shd w:val="clear" w:color="auto" w:fill="FFFFFF"/>
        </w:rPr>
        <w:t xml:space="preserve"> V nadväznosti na to, stratégia formuluje nasledovné k</w:t>
      </w:r>
      <w:r w:rsidRPr="00685930">
        <w:rPr>
          <w:rFonts w:ascii="Cambria" w:hAnsi="Cambria"/>
          <w:color w:val="000000"/>
          <w:sz w:val="22"/>
          <w:szCs w:val="22"/>
          <w:bdr w:val="none" w:sz="0" w:space="0" w:color="auto" w:frame="1"/>
        </w:rPr>
        <w:t xml:space="preserve">ľúčové opatrenie </w:t>
      </w:r>
      <w:r w:rsidRPr="00685930">
        <w:rPr>
          <w:rFonts w:ascii="Cambria" w:hAnsi="Cambria"/>
          <w:i/>
          <w:iCs/>
          <w:color w:val="000000"/>
          <w:sz w:val="22"/>
          <w:szCs w:val="22"/>
          <w:bdr w:val="none" w:sz="0" w:space="0" w:color="auto" w:frame="1"/>
        </w:rPr>
        <w:t>„</w:t>
      </w:r>
      <w:r w:rsidR="00CD4E35" w:rsidRPr="00685930">
        <w:rPr>
          <w:rFonts w:ascii="Cambria" w:hAnsi="Cambria"/>
          <w:i/>
          <w:iCs/>
          <w:color w:val="000000"/>
          <w:sz w:val="22"/>
          <w:szCs w:val="22"/>
          <w:shd w:val="clear" w:color="auto" w:fill="FFFFFF"/>
          <w:lang w:val="en-GB"/>
        </w:rPr>
        <w:t>[v]</w:t>
      </w:r>
      <w:r w:rsidRPr="00685930">
        <w:rPr>
          <w:rFonts w:ascii="Cambria" w:hAnsi="Cambria"/>
          <w:i/>
          <w:iCs/>
          <w:color w:val="000000"/>
          <w:sz w:val="22"/>
          <w:szCs w:val="22"/>
          <w:bdr w:val="none" w:sz="0" w:space="0" w:color="auto" w:frame="1"/>
        </w:rPr>
        <w:t> rámci revízie smernice o konečnom zúčtovaní (SFD) (ktorá sa začne v 4. štvrťroku 2020) Komisia zváži rozšírenie rozsahu pôsobnosti smernice SFD tak, aby sa vzťahovala aj na inštitúcie elektronických peňazí a platobné inštitúcie, a to pod podmienkou primeraného dohľadu a zmierňovania rizika.“</w:t>
      </w:r>
    </w:p>
    <w:p w:rsidR="00F65D93" w:rsidRPr="00F51FBE" w:rsidRDefault="00F65D93" w:rsidP="00190ED2">
      <w:pPr>
        <w:spacing w:after="0" w:line="240" w:lineRule="auto"/>
        <w:jc w:val="both"/>
        <w:rPr>
          <w:bCs/>
        </w:rPr>
      </w:pPr>
    </w:p>
    <w:p w:rsidR="00A3177A" w:rsidRPr="00F51FBE" w:rsidRDefault="009F5EAC" w:rsidP="00F51FBE">
      <w:pPr>
        <w:pStyle w:val="Heading2"/>
      </w:pPr>
      <w:r w:rsidRPr="00F51FBE">
        <w:t xml:space="preserve">3. </w:t>
      </w:r>
      <w:r w:rsidR="00AC0F94" w:rsidRPr="00F51FBE">
        <w:t>Technick</w:t>
      </w:r>
      <w:r w:rsidR="00135048">
        <w:t xml:space="preserve">ý stav </w:t>
      </w:r>
    </w:p>
    <w:p w:rsidR="007C4FB8" w:rsidRPr="00AC0F94" w:rsidRDefault="007C4FB8" w:rsidP="007C4FB8">
      <w:pPr>
        <w:spacing w:after="0" w:line="240" w:lineRule="auto"/>
        <w:jc w:val="both"/>
        <w:rPr>
          <w:szCs w:val="22"/>
        </w:rPr>
      </w:pPr>
      <w:r w:rsidRPr="00C70ABF">
        <w:rPr>
          <w:szCs w:val="22"/>
        </w:rPr>
        <w:t xml:space="preserve">Po zavedení meny euro sa stal </w:t>
      </w:r>
      <w:r w:rsidRPr="00CD4E35">
        <w:rPr>
          <w:szCs w:val="22"/>
        </w:rPr>
        <w:t>SIPS systémom na spracovanie platieb.</w:t>
      </w:r>
      <w:r w:rsidRPr="00AC0F94">
        <w:rPr>
          <w:szCs w:val="22"/>
        </w:rPr>
        <w:t xml:space="preserve"> </w:t>
      </w:r>
      <w:r w:rsidRPr="00F51FBE">
        <w:rPr>
          <w:b/>
          <w:bCs/>
          <w:szCs w:val="22"/>
        </w:rPr>
        <w:t>Vyrovnanie</w:t>
      </w:r>
      <w:r w:rsidR="00CD4E35">
        <w:rPr>
          <w:b/>
          <w:bCs/>
          <w:szCs w:val="22"/>
        </w:rPr>
        <w:t>, resp. zúčtovanie</w:t>
      </w:r>
      <w:r w:rsidRPr="00F51FBE">
        <w:rPr>
          <w:b/>
          <w:bCs/>
          <w:szCs w:val="22"/>
        </w:rPr>
        <w:t xml:space="preserve"> platieb </w:t>
      </w:r>
      <w:r w:rsidR="00CD4E35">
        <w:rPr>
          <w:b/>
          <w:bCs/>
          <w:szCs w:val="22"/>
        </w:rPr>
        <w:t>SIPS</w:t>
      </w:r>
      <w:r w:rsidRPr="00AC0F94">
        <w:rPr>
          <w:b/>
          <w:bCs/>
          <w:szCs w:val="22"/>
        </w:rPr>
        <w:t xml:space="preserve"> sa </w:t>
      </w:r>
      <w:r w:rsidR="00CD4E35">
        <w:rPr>
          <w:b/>
          <w:bCs/>
          <w:szCs w:val="22"/>
        </w:rPr>
        <w:t xml:space="preserve">však </w:t>
      </w:r>
      <w:r w:rsidRPr="00AC0F94">
        <w:rPr>
          <w:b/>
          <w:bCs/>
          <w:szCs w:val="22"/>
        </w:rPr>
        <w:t xml:space="preserve">realizuje cez TARGET2. </w:t>
      </w:r>
      <w:r w:rsidRPr="00AC0F94">
        <w:rPr>
          <w:szCs w:val="22"/>
        </w:rPr>
        <w:t xml:space="preserve">Priamym alebo nepriamym </w:t>
      </w:r>
      <w:r w:rsidRPr="00F51FBE">
        <w:rPr>
          <w:szCs w:val="22"/>
        </w:rPr>
        <w:t>účastníkom TARGET2</w:t>
      </w:r>
      <w:r w:rsidR="00AA1BC5" w:rsidRPr="00F51FBE">
        <w:rPr>
          <w:rStyle w:val="FootnoteReference"/>
          <w:szCs w:val="22"/>
        </w:rPr>
        <w:footnoteReference w:id="6"/>
      </w:r>
      <w:r w:rsidRPr="00F51FBE">
        <w:rPr>
          <w:szCs w:val="22"/>
        </w:rPr>
        <w:t xml:space="preserve"> môže byť len </w:t>
      </w:r>
      <w:r w:rsidRPr="00F65D93">
        <w:rPr>
          <w:szCs w:val="22"/>
        </w:rPr>
        <w:t>osoba podľa</w:t>
      </w:r>
      <w:r w:rsidR="00AC0F94">
        <w:rPr>
          <w:szCs w:val="22"/>
        </w:rPr>
        <w:t xml:space="preserve"> SFD a</w:t>
      </w:r>
      <w:r w:rsidRPr="00F65D93">
        <w:rPr>
          <w:szCs w:val="22"/>
        </w:rPr>
        <w:t xml:space="preserve"> </w:t>
      </w:r>
      <w:r w:rsidR="00BA0187" w:rsidRPr="00F51FBE">
        <w:rPr>
          <w:szCs w:val="22"/>
        </w:rPr>
        <w:t>usmerneni</w:t>
      </w:r>
      <w:r w:rsidR="00CD4E35">
        <w:rPr>
          <w:szCs w:val="22"/>
        </w:rPr>
        <w:t>a</w:t>
      </w:r>
      <w:r w:rsidR="00BA0187" w:rsidRPr="00F51FBE">
        <w:rPr>
          <w:szCs w:val="22"/>
        </w:rPr>
        <w:t xml:space="preserve"> ECB/2012/27</w:t>
      </w:r>
      <w:r w:rsidR="009F3397" w:rsidRPr="00F51FBE">
        <w:rPr>
          <w:szCs w:val="22"/>
        </w:rPr>
        <w:t xml:space="preserve">, podľa ktorého </w:t>
      </w:r>
      <w:r w:rsidR="00BB416B" w:rsidRPr="00F51FBE">
        <w:rPr>
          <w:szCs w:val="22"/>
        </w:rPr>
        <w:t xml:space="preserve">sa </w:t>
      </w:r>
      <w:r w:rsidR="00BB416B" w:rsidRPr="00CD4E35">
        <w:rPr>
          <w:szCs w:val="22"/>
        </w:rPr>
        <w:t xml:space="preserve">účastníkom alebo priamym účastníkom </w:t>
      </w:r>
      <w:r w:rsidR="001A23D4" w:rsidRPr="00CD4E35">
        <w:rPr>
          <w:szCs w:val="22"/>
        </w:rPr>
        <w:t xml:space="preserve">TARGET2 </w:t>
      </w:r>
      <w:r w:rsidR="00BB416B" w:rsidRPr="00CD4E35">
        <w:rPr>
          <w:szCs w:val="22"/>
        </w:rPr>
        <w:t xml:space="preserve">rozumie subjekt, ktorý je majiteľom aspoň jedného PM účtu </w:t>
      </w:r>
      <w:r w:rsidR="00CD4E35" w:rsidRPr="00CD4E35">
        <w:rPr>
          <w:szCs w:val="22"/>
        </w:rPr>
        <w:t>(</w:t>
      </w:r>
      <w:proofErr w:type="spellStart"/>
      <w:r w:rsidR="00CD4E35" w:rsidRPr="00CD4E35">
        <w:rPr>
          <w:szCs w:val="22"/>
        </w:rPr>
        <w:t>t.j</w:t>
      </w:r>
      <w:proofErr w:type="spellEnd"/>
      <w:r w:rsidR="00CD4E35" w:rsidRPr="00CD4E35">
        <w:rPr>
          <w:szCs w:val="22"/>
        </w:rPr>
        <w:t xml:space="preserve">. vyrovnacieho účtu) </w:t>
      </w:r>
      <w:r w:rsidR="00BB416B" w:rsidRPr="00CD4E35">
        <w:rPr>
          <w:szCs w:val="22"/>
        </w:rPr>
        <w:t xml:space="preserve">v centrálnej banke. </w:t>
      </w:r>
      <w:r w:rsidR="00CD4E35">
        <w:rPr>
          <w:szCs w:val="22"/>
        </w:rPr>
        <w:t>Vyrovnanie</w:t>
      </w:r>
      <w:r w:rsidRPr="00CD4E35">
        <w:rPr>
          <w:szCs w:val="22"/>
        </w:rPr>
        <w:t xml:space="preserve"> </w:t>
      </w:r>
      <w:r w:rsidR="00CD4E35">
        <w:rPr>
          <w:szCs w:val="22"/>
        </w:rPr>
        <w:t xml:space="preserve">platieb </w:t>
      </w:r>
      <w:r w:rsidRPr="00CD4E35">
        <w:rPr>
          <w:szCs w:val="22"/>
        </w:rPr>
        <w:t xml:space="preserve">SIPS </w:t>
      </w:r>
      <w:r w:rsidR="00CD4E35">
        <w:rPr>
          <w:szCs w:val="22"/>
        </w:rPr>
        <w:t xml:space="preserve">teda </w:t>
      </w:r>
      <w:r w:rsidRPr="00CD4E35">
        <w:rPr>
          <w:szCs w:val="22"/>
        </w:rPr>
        <w:t xml:space="preserve">prebieha na účtoch centrálnej banky, </w:t>
      </w:r>
      <w:proofErr w:type="spellStart"/>
      <w:r w:rsidRPr="00CD4E35">
        <w:rPr>
          <w:szCs w:val="22"/>
        </w:rPr>
        <w:t>t.j</w:t>
      </w:r>
      <w:proofErr w:type="spellEnd"/>
      <w:r w:rsidRPr="00CD4E35">
        <w:rPr>
          <w:szCs w:val="22"/>
        </w:rPr>
        <w:t>. na  PM účtoch</w:t>
      </w:r>
      <w:r w:rsidR="00FC7823" w:rsidRPr="00CD4E35">
        <w:rPr>
          <w:szCs w:val="22"/>
        </w:rPr>
        <w:t xml:space="preserve"> </w:t>
      </w:r>
      <w:r w:rsidRPr="00CD4E35">
        <w:rPr>
          <w:szCs w:val="22"/>
        </w:rPr>
        <w:t xml:space="preserve">v TARGET2-SK. </w:t>
      </w:r>
    </w:p>
    <w:p w:rsidR="00062E5C" w:rsidRPr="00BE0886" w:rsidRDefault="00062E5C" w:rsidP="00190ED2">
      <w:pPr>
        <w:spacing w:after="0" w:line="240" w:lineRule="auto"/>
        <w:jc w:val="both"/>
      </w:pPr>
    </w:p>
    <w:p w:rsidR="00E65DDB" w:rsidRPr="00BE0886" w:rsidRDefault="009F5EAC" w:rsidP="00F51FBE">
      <w:pPr>
        <w:pStyle w:val="Heading2"/>
      </w:pPr>
      <w:r>
        <w:t>4</w:t>
      </w:r>
      <w:r w:rsidR="00E65DDB" w:rsidRPr="00BE0886">
        <w:t xml:space="preserve">. </w:t>
      </w:r>
      <w:r w:rsidR="00135048">
        <w:t>R</w:t>
      </w:r>
      <w:r w:rsidR="007C4FB8" w:rsidRPr="00BE0886">
        <w:t>ozsah služieb platobného systému</w:t>
      </w:r>
      <w:r w:rsidR="0076563C" w:rsidRPr="00BE0886">
        <w:t xml:space="preserve"> SIPS</w:t>
      </w:r>
    </w:p>
    <w:p w:rsidR="00AA1BC5" w:rsidRDefault="007F45D4" w:rsidP="00852EBD">
      <w:pPr>
        <w:spacing w:after="0" w:line="240" w:lineRule="auto"/>
        <w:jc w:val="both"/>
      </w:pPr>
      <w:r w:rsidRPr="00BE0886">
        <w:t xml:space="preserve">V SIPS-e je možné vykonávať tuzemské úhrady, tuzemské inkasá, cezhraničné úhrady, cezhraničné inkasá SEPA </w:t>
      </w:r>
      <w:proofErr w:type="spellStart"/>
      <w:r w:rsidRPr="00BE0886">
        <w:t>Direct</w:t>
      </w:r>
      <w:proofErr w:type="spellEnd"/>
      <w:r w:rsidRPr="00BE0886">
        <w:t xml:space="preserve"> </w:t>
      </w:r>
      <w:proofErr w:type="spellStart"/>
      <w:r w:rsidRPr="00BE0886">
        <w:t>Debit</w:t>
      </w:r>
      <w:proofErr w:type="spellEnd"/>
      <w:r w:rsidRPr="00BE0886">
        <w:t xml:space="preserve"> </w:t>
      </w:r>
      <w:proofErr w:type="spellStart"/>
      <w:r w:rsidRPr="00BE0886">
        <w:t>Core</w:t>
      </w:r>
      <w:proofErr w:type="spellEnd"/>
      <w:r w:rsidRPr="00BE0886">
        <w:t xml:space="preserve"> a SEPA </w:t>
      </w:r>
      <w:proofErr w:type="spellStart"/>
      <w:r w:rsidRPr="00BE0886">
        <w:t>Direct</w:t>
      </w:r>
      <w:proofErr w:type="spellEnd"/>
      <w:r w:rsidRPr="00BE0886">
        <w:t xml:space="preserve"> </w:t>
      </w:r>
      <w:proofErr w:type="spellStart"/>
      <w:r w:rsidRPr="00BE0886">
        <w:t>Debit</w:t>
      </w:r>
      <w:proofErr w:type="spellEnd"/>
      <w:r w:rsidRPr="00BE0886">
        <w:t xml:space="preserve"> B2B.</w:t>
      </w:r>
      <w:r w:rsidR="00AA1BC5">
        <w:t>.</w:t>
      </w:r>
      <w:r w:rsidR="00BA0187" w:rsidRPr="00BE0886">
        <w:t xml:space="preserve"> </w:t>
      </w:r>
      <w:r w:rsidR="00AA1BC5" w:rsidRPr="002C0EAE">
        <w:rPr>
          <w:b/>
        </w:rPr>
        <w:t xml:space="preserve">Čo je však veľmi dôležité, </w:t>
      </w:r>
      <w:r w:rsidR="00BA0187" w:rsidRPr="002C0EAE">
        <w:rPr>
          <w:b/>
        </w:rPr>
        <w:t>v platobnom systéme SIPS sa neuvažuje o vykonávaní instantných platieb</w:t>
      </w:r>
      <w:r w:rsidR="00AA1BC5" w:rsidRPr="002C0EAE">
        <w:rPr>
          <w:b/>
        </w:rPr>
        <w:t>, ktoré sú vnímané ako veľmi atraktívne pre FinTech subjekty.</w:t>
      </w:r>
      <w:r w:rsidR="00AA1BC5">
        <w:t xml:space="preserve"> </w:t>
      </w:r>
      <w:r w:rsidR="003968D6" w:rsidRPr="00BE0886">
        <w:t>.</w:t>
      </w:r>
    </w:p>
    <w:p w:rsidR="00CD4E35" w:rsidRDefault="00CD4E35" w:rsidP="00852EBD">
      <w:pPr>
        <w:spacing w:after="0" w:line="240" w:lineRule="auto"/>
        <w:jc w:val="both"/>
      </w:pPr>
    </w:p>
    <w:p w:rsidR="00CD4E35" w:rsidRDefault="00CD4E35" w:rsidP="00CD4E35">
      <w:pPr>
        <w:pStyle w:val="Heading2"/>
      </w:pPr>
      <w:r>
        <w:t>Záver</w:t>
      </w:r>
    </w:p>
    <w:p w:rsidR="00CD4E35" w:rsidRPr="00685930" w:rsidRDefault="00CD4E35" w:rsidP="00852EBD">
      <w:pPr>
        <w:spacing w:after="0" w:line="240" w:lineRule="auto"/>
        <w:jc w:val="both"/>
        <w:rPr>
          <w:szCs w:val="22"/>
        </w:rPr>
      </w:pPr>
      <w:r w:rsidRPr="00685930">
        <w:rPr>
          <w:szCs w:val="22"/>
        </w:rPr>
        <w:t xml:space="preserve">Vzhľadom na uvedené sa dá očakávať, že priame pripojenie nebankových subjektov do platobného systému  bude možné po úprave príslušnej európskej legislatívy (SFD), za podmienok, ktoré stanoví ECB. Termín sprístupnenia tejto možnosti závisí od </w:t>
      </w:r>
      <w:r w:rsidR="00307674" w:rsidRPr="00685930">
        <w:rPr>
          <w:szCs w:val="22"/>
        </w:rPr>
        <w:t>legislatívneho procesu na úrovni EÚ</w:t>
      </w:r>
      <w:r w:rsidR="00CD211B" w:rsidRPr="00685930">
        <w:rPr>
          <w:szCs w:val="22"/>
        </w:rPr>
        <w:t>.</w:t>
      </w:r>
    </w:p>
    <w:p w:rsidR="00135048" w:rsidRPr="00685930" w:rsidRDefault="00135048" w:rsidP="00852EBD">
      <w:pPr>
        <w:spacing w:after="0" w:line="240" w:lineRule="auto"/>
        <w:jc w:val="both"/>
        <w:rPr>
          <w:szCs w:val="22"/>
        </w:rPr>
      </w:pPr>
    </w:p>
    <w:p w:rsidR="00135048" w:rsidRPr="00685930" w:rsidRDefault="00135048" w:rsidP="00135048">
      <w:pPr>
        <w:jc w:val="both"/>
        <w:rPr>
          <w:szCs w:val="22"/>
        </w:rPr>
      </w:pPr>
      <w:r w:rsidRPr="00685930">
        <w:rPr>
          <w:szCs w:val="22"/>
        </w:rPr>
        <w:t>V tejto súvislosti ďalej uvádzame nasledovné.</w:t>
      </w:r>
    </w:p>
    <w:p w:rsidR="00135048" w:rsidRPr="00685930" w:rsidRDefault="00135048" w:rsidP="00135048">
      <w:pPr>
        <w:jc w:val="both"/>
        <w:rPr>
          <w:szCs w:val="22"/>
        </w:rPr>
      </w:pPr>
      <w:r w:rsidRPr="00685930">
        <w:rPr>
          <w:szCs w:val="22"/>
        </w:rPr>
        <w:t>Pravidlá platobného systému SIPS upravuje úplné znenie č. 10/2017 rozhodnutia Národnej banky Slovenska č. 7/2012 o pravidlách platobného systému SIPS v znení neskorších predpisov.</w:t>
      </w:r>
    </w:p>
    <w:p w:rsidR="00135048" w:rsidRPr="00685930" w:rsidRDefault="00135048" w:rsidP="00135048">
      <w:pPr>
        <w:jc w:val="both"/>
        <w:rPr>
          <w:szCs w:val="22"/>
        </w:rPr>
      </w:pPr>
      <w:r w:rsidRPr="00685930">
        <w:rPr>
          <w:szCs w:val="22"/>
        </w:rPr>
        <w:t>Pravidlá platobného systému TARGET2-SK upravuje úplne znenie rozhodnutia Národnej banky Slovenska č. 7/2015 o podmienkach otvorenia a vedenia PM účtu v TARGET2-SK v znení neskorších predpisov.</w:t>
      </w:r>
    </w:p>
    <w:p w:rsidR="00135048" w:rsidRPr="00685930" w:rsidRDefault="00135048" w:rsidP="00135048">
      <w:pPr>
        <w:jc w:val="both"/>
        <w:rPr>
          <w:szCs w:val="22"/>
        </w:rPr>
      </w:pPr>
      <w:r w:rsidRPr="00685930">
        <w:rPr>
          <w:szCs w:val="22"/>
        </w:rPr>
        <w:t xml:space="preserve">Ďalšie informácie o platobných systémoch SIPS a TARGET2-SK sú uvedené na webovom sídle nbs.sk v časti </w:t>
      </w:r>
      <w:hyperlink r:id="rId8" w:history="1">
        <w:r w:rsidRPr="00685930">
          <w:rPr>
            <w:rStyle w:val="Hyperlink"/>
            <w:szCs w:val="22"/>
          </w:rPr>
          <w:t>PLATOBNÉ SYSTÉMY</w:t>
        </w:r>
      </w:hyperlink>
      <w:r w:rsidRPr="00685930">
        <w:rPr>
          <w:szCs w:val="22"/>
        </w:rPr>
        <w:t>.</w:t>
      </w:r>
    </w:p>
    <w:p w:rsidR="00135048" w:rsidRPr="00BE0886" w:rsidRDefault="00135048" w:rsidP="00852EBD">
      <w:pPr>
        <w:spacing w:after="0" w:line="240" w:lineRule="auto"/>
        <w:jc w:val="both"/>
      </w:pPr>
    </w:p>
    <w:sectPr w:rsidR="00135048" w:rsidRPr="00BE08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13B7" w:rsidRDefault="00B213B7" w:rsidP="0009480D">
      <w:pPr>
        <w:spacing w:after="0" w:line="240" w:lineRule="auto"/>
      </w:pPr>
      <w:r>
        <w:separator/>
      </w:r>
    </w:p>
  </w:endnote>
  <w:endnote w:type="continuationSeparator" w:id="0">
    <w:p w:rsidR="00B213B7" w:rsidRDefault="00B213B7"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328194"/>
      <w:docPartObj>
        <w:docPartGallery w:val="Page Numbers (Bottom of Page)"/>
        <w:docPartUnique/>
      </w:docPartObj>
    </w:sdtPr>
    <w:sdtEndPr>
      <w:rPr>
        <w:noProof/>
      </w:rPr>
    </w:sdtEndPr>
    <w:sdtContent>
      <w:p w:rsidR="000A05D9" w:rsidRDefault="000A05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05D9" w:rsidRDefault="000A05D9"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13B7" w:rsidRDefault="00B213B7" w:rsidP="0009480D">
      <w:pPr>
        <w:spacing w:after="0" w:line="240" w:lineRule="auto"/>
      </w:pPr>
      <w:r>
        <w:separator/>
      </w:r>
    </w:p>
  </w:footnote>
  <w:footnote w:type="continuationSeparator" w:id="0">
    <w:p w:rsidR="00B213B7" w:rsidRDefault="00B213B7" w:rsidP="0009480D">
      <w:pPr>
        <w:spacing w:after="0" w:line="240" w:lineRule="auto"/>
      </w:pPr>
      <w:r>
        <w:continuationSeparator/>
      </w:r>
    </w:p>
  </w:footnote>
  <w:footnote w:id="1">
    <w:p w:rsidR="000A05D9" w:rsidRDefault="000A05D9" w:rsidP="00CC1F6B">
      <w:pPr>
        <w:pStyle w:val="FootnoteText"/>
        <w:jc w:val="both"/>
      </w:pPr>
      <w:r>
        <w:rPr>
          <w:rStyle w:val="FootnoteReference"/>
        </w:rPr>
        <w:footnoteRef/>
      </w:r>
      <w:r>
        <w:t xml:space="preserve"> </w:t>
      </w:r>
      <w:r w:rsidRPr="0023455F">
        <w:t xml:space="preserve">Litva </w:t>
      </w:r>
      <w:r w:rsidR="007E1ADE">
        <w:t xml:space="preserve">v prieskume </w:t>
      </w:r>
      <w:r w:rsidRPr="0023455F">
        <w:t>uviedla, že neposkytuje prístup nebankovým poskytovateľom s poznámkou, že má modifikáciu vlastného platobného systému.</w:t>
      </w:r>
    </w:p>
  </w:footnote>
  <w:footnote w:id="2">
    <w:p w:rsidR="000A05D9" w:rsidRDefault="000A05D9" w:rsidP="00CC1F6B">
      <w:pPr>
        <w:pStyle w:val="FootnoteText"/>
        <w:jc w:val="both"/>
      </w:pPr>
      <w:r>
        <w:rPr>
          <w:rStyle w:val="FootnoteReference"/>
        </w:rPr>
        <w:footnoteRef/>
      </w:r>
      <w:r>
        <w:t xml:space="preserve"> </w:t>
      </w:r>
      <w:r w:rsidRPr="00D46469">
        <w:t>Smernica PSD2 (2015/2366/EÚ) bola transponovaná do zákona o platobných službách.</w:t>
      </w:r>
    </w:p>
  </w:footnote>
  <w:footnote w:id="3">
    <w:p w:rsidR="000A05D9" w:rsidRPr="00751123" w:rsidRDefault="000A05D9" w:rsidP="00CC1F6B">
      <w:pPr>
        <w:pStyle w:val="FootnoteText"/>
        <w:jc w:val="both"/>
        <w:rPr>
          <w:strike/>
        </w:rPr>
      </w:pPr>
      <w:r w:rsidRPr="009F3397">
        <w:rPr>
          <w:rStyle w:val="FootnoteReference"/>
        </w:rPr>
        <w:footnoteRef/>
      </w:r>
      <w:r w:rsidRPr="009F3397">
        <w:t xml:space="preserve"> </w:t>
      </w:r>
      <w:hyperlink r:id="rId1" w:history="1">
        <w:r w:rsidRPr="00460A64">
          <w:rPr>
            <w:rStyle w:val="Hyperlink"/>
          </w:rPr>
          <w:t>https://www.esma.europa.eu/sites/default/files/library/designated_payment_and_securities_</w:t>
        </w:r>
      </w:hyperlink>
      <w:r w:rsidRPr="0023455F">
        <w:t xml:space="preserve"> settlement_systems.pdf</w:t>
      </w:r>
    </w:p>
  </w:footnote>
  <w:footnote w:id="4">
    <w:p w:rsidR="000A05D9" w:rsidRDefault="000A05D9" w:rsidP="00CC1F6B">
      <w:pPr>
        <w:pStyle w:val="FootnoteText"/>
        <w:jc w:val="both"/>
      </w:pPr>
      <w:r>
        <w:rPr>
          <w:rStyle w:val="FootnoteReference"/>
        </w:rPr>
        <w:footnoteRef/>
      </w:r>
      <w:r>
        <w:t xml:space="preserve"> </w:t>
      </w:r>
      <w:r w:rsidRPr="00D46469">
        <w:t>Smernica SFD (98/26/ES) bola transponovaná do zákona o platobných službách, pričom ustanovenie § 47 ods. 1 tohto zákona vymedzuje okruh účastníkov platobného systému.</w:t>
      </w:r>
    </w:p>
  </w:footnote>
  <w:footnote w:id="5">
    <w:p w:rsidR="00E045AD" w:rsidRDefault="00E045AD" w:rsidP="00E045AD">
      <w:pPr>
        <w:pStyle w:val="FootnoteText"/>
      </w:pPr>
      <w:r>
        <w:rPr>
          <w:rStyle w:val="FootnoteReference"/>
        </w:rPr>
        <w:footnoteRef/>
      </w:r>
      <w:r>
        <w:t xml:space="preserve"> Oznámenie Komisie Európskemu parlamentu, Rade, Európskemu hospodárskemu a sociálnemu výboru a Výboru regiónov o stratégii EÚ v oblasti </w:t>
      </w:r>
      <w:proofErr w:type="spellStart"/>
      <w:r>
        <w:t>retailových</w:t>
      </w:r>
      <w:proofErr w:type="spellEnd"/>
      <w:r>
        <w:t xml:space="preserve"> platieb, </w:t>
      </w:r>
      <w:r>
        <w:rPr>
          <w:color w:val="000000"/>
          <w:shd w:val="clear" w:color="auto" w:fill="FFFFFF"/>
        </w:rPr>
        <w:t xml:space="preserve">COM(2020) 592 </w:t>
      </w:r>
      <w:proofErr w:type="spellStart"/>
      <w:r>
        <w:rPr>
          <w:color w:val="000000"/>
          <w:shd w:val="clear" w:color="auto" w:fill="FFFFFF"/>
        </w:rPr>
        <w:t>final</w:t>
      </w:r>
      <w:proofErr w:type="spellEnd"/>
    </w:p>
  </w:footnote>
  <w:footnote w:id="6">
    <w:p w:rsidR="00AA1BC5" w:rsidRDefault="00AA1BC5">
      <w:pPr>
        <w:pStyle w:val="FootnoteText"/>
      </w:pPr>
      <w:r>
        <w:rPr>
          <w:rStyle w:val="FootnoteReference"/>
        </w:rPr>
        <w:footnoteRef/>
      </w:r>
      <w:r>
        <w:t xml:space="preserve"> </w:t>
      </w:r>
      <w:r w:rsidRPr="00D46469">
        <w:t>TARGET2 je decentralizovaná štruktúra, ktorá napája národné systémy; u nás je týmto národným systémom TARGET2-SK. TARGET2 sa riadi usmernením ECB/2012/27. NBS zverejňuje účastníkov TARGET2 – sú nimi banky, štátna pokladnica a NBS. Rozhodnutím NBS č. 10/2018 sú upravené podmienky vedenia a otvorenia účtu v TARGET2.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14BF9"/>
    <w:multiLevelType w:val="hybridMultilevel"/>
    <w:tmpl w:val="182A6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EB718A"/>
    <w:multiLevelType w:val="hybridMultilevel"/>
    <w:tmpl w:val="292E3A1E"/>
    <w:lvl w:ilvl="0" w:tplc="18EA3284">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942BB6"/>
    <w:multiLevelType w:val="hybridMultilevel"/>
    <w:tmpl w:val="92EAA6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F75141A"/>
    <w:multiLevelType w:val="hybridMultilevel"/>
    <w:tmpl w:val="9BAEFA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6EB64F4"/>
    <w:multiLevelType w:val="hybridMultilevel"/>
    <w:tmpl w:val="5C3260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9FA5134"/>
    <w:multiLevelType w:val="hybridMultilevel"/>
    <w:tmpl w:val="F1FAB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58"/>
    <w:rsid w:val="00004F72"/>
    <w:rsid w:val="000147DE"/>
    <w:rsid w:val="00023E6F"/>
    <w:rsid w:val="000334AE"/>
    <w:rsid w:val="000510F6"/>
    <w:rsid w:val="00056BF5"/>
    <w:rsid w:val="00062E5C"/>
    <w:rsid w:val="000832CC"/>
    <w:rsid w:val="00091F71"/>
    <w:rsid w:val="0009480D"/>
    <w:rsid w:val="000A05D9"/>
    <w:rsid w:val="000A6137"/>
    <w:rsid w:val="000B7579"/>
    <w:rsid w:val="000C11E8"/>
    <w:rsid w:val="000D006E"/>
    <w:rsid w:val="000F0E36"/>
    <w:rsid w:val="000F3501"/>
    <w:rsid w:val="00116218"/>
    <w:rsid w:val="00130860"/>
    <w:rsid w:val="00135048"/>
    <w:rsid w:val="001471C5"/>
    <w:rsid w:val="001663B6"/>
    <w:rsid w:val="001745A5"/>
    <w:rsid w:val="001905D2"/>
    <w:rsid w:val="00190ED2"/>
    <w:rsid w:val="001A23D4"/>
    <w:rsid w:val="001A29C0"/>
    <w:rsid w:val="001A694C"/>
    <w:rsid w:val="001D01FE"/>
    <w:rsid w:val="001D5F9F"/>
    <w:rsid w:val="001F7D42"/>
    <w:rsid w:val="00225679"/>
    <w:rsid w:val="0022776E"/>
    <w:rsid w:val="00227F65"/>
    <w:rsid w:val="0023455F"/>
    <w:rsid w:val="002400AB"/>
    <w:rsid w:val="00250AC8"/>
    <w:rsid w:val="0026104C"/>
    <w:rsid w:val="00261356"/>
    <w:rsid w:val="00275B7D"/>
    <w:rsid w:val="002A41FA"/>
    <w:rsid w:val="002A74F9"/>
    <w:rsid w:val="002A7DFB"/>
    <w:rsid w:val="002B4CD0"/>
    <w:rsid w:val="002C0B02"/>
    <w:rsid w:val="002C0EAE"/>
    <w:rsid w:val="002C2500"/>
    <w:rsid w:val="002C2DF0"/>
    <w:rsid w:val="002C3FB3"/>
    <w:rsid w:val="002E3235"/>
    <w:rsid w:val="00303A26"/>
    <w:rsid w:val="00307674"/>
    <w:rsid w:val="00320D0E"/>
    <w:rsid w:val="00335F69"/>
    <w:rsid w:val="00356CA2"/>
    <w:rsid w:val="00357B44"/>
    <w:rsid w:val="003636B5"/>
    <w:rsid w:val="00364310"/>
    <w:rsid w:val="00392F01"/>
    <w:rsid w:val="003968D6"/>
    <w:rsid w:val="003B0EC2"/>
    <w:rsid w:val="003B5AFB"/>
    <w:rsid w:val="003C0A52"/>
    <w:rsid w:val="003E1B4B"/>
    <w:rsid w:val="004100B0"/>
    <w:rsid w:val="00411899"/>
    <w:rsid w:val="00411E3F"/>
    <w:rsid w:val="00412411"/>
    <w:rsid w:val="00413DCE"/>
    <w:rsid w:val="00425770"/>
    <w:rsid w:val="00425958"/>
    <w:rsid w:val="00433C38"/>
    <w:rsid w:val="00445B18"/>
    <w:rsid w:val="0045113B"/>
    <w:rsid w:val="00452B7B"/>
    <w:rsid w:val="00460A64"/>
    <w:rsid w:val="004622FC"/>
    <w:rsid w:val="00470520"/>
    <w:rsid w:val="00472990"/>
    <w:rsid w:val="00475C33"/>
    <w:rsid w:val="00487034"/>
    <w:rsid w:val="004900EF"/>
    <w:rsid w:val="004A57C1"/>
    <w:rsid w:val="004B21E8"/>
    <w:rsid w:val="004C5AD4"/>
    <w:rsid w:val="004D7E2D"/>
    <w:rsid w:val="004E0E04"/>
    <w:rsid w:val="004E3AAC"/>
    <w:rsid w:val="004F140A"/>
    <w:rsid w:val="0052038B"/>
    <w:rsid w:val="005316F2"/>
    <w:rsid w:val="005401A4"/>
    <w:rsid w:val="00540F66"/>
    <w:rsid w:val="00564381"/>
    <w:rsid w:val="00567D60"/>
    <w:rsid w:val="00575084"/>
    <w:rsid w:val="0057741D"/>
    <w:rsid w:val="00583916"/>
    <w:rsid w:val="005939CC"/>
    <w:rsid w:val="005A1CD3"/>
    <w:rsid w:val="005B0521"/>
    <w:rsid w:val="005E24C3"/>
    <w:rsid w:val="005E36C3"/>
    <w:rsid w:val="006125B1"/>
    <w:rsid w:val="0064372E"/>
    <w:rsid w:val="006457E2"/>
    <w:rsid w:val="006470E3"/>
    <w:rsid w:val="00657BB3"/>
    <w:rsid w:val="006678C9"/>
    <w:rsid w:val="0067657B"/>
    <w:rsid w:val="00685930"/>
    <w:rsid w:val="006C3CE6"/>
    <w:rsid w:val="006C4DED"/>
    <w:rsid w:val="006F05E9"/>
    <w:rsid w:val="006F7579"/>
    <w:rsid w:val="00702F19"/>
    <w:rsid w:val="00713E5B"/>
    <w:rsid w:val="0072528C"/>
    <w:rsid w:val="00751123"/>
    <w:rsid w:val="00761FC6"/>
    <w:rsid w:val="0076563C"/>
    <w:rsid w:val="00782367"/>
    <w:rsid w:val="00787300"/>
    <w:rsid w:val="00795FB9"/>
    <w:rsid w:val="007B6B9E"/>
    <w:rsid w:val="007C0B57"/>
    <w:rsid w:val="007C0C66"/>
    <w:rsid w:val="007C4FB8"/>
    <w:rsid w:val="007E1ADE"/>
    <w:rsid w:val="007F45D4"/>
    <w:rsid w:val="00800F89"/>
    <w:rsid w:val="008031A8"/>
    <w:rsid w:val="008116D6"/>
    <w:rsid w:val="008158D1"/>
    <w:rsid w:val="00817F54"/>
    <w:rsid w:val="00832E25"/>
    <w:rsid w:val="00851BDA"/>
    <w:rsid w:val="00852EBD"/>
    <w:rsid w:val="00855F80"/>
    <w:rsid w:val="00856293"/>
    <w:rsid w:val="00864916"/>
    <w:rsid w:val="008725AC"/>
    <w:rsid w:val="00877146"/>
    <w:rsid w:val="008B45E6"/>
    <w:rsid w:val="008D7989"/>
    <w:rsid w:val="008E1DCC"/>
    <w:rsid w:val="008F70A2"/>
    <w:rsid w:val="00900839"/>
    <w:rsid w:val="009207D4"/>
    <w:rsid w:val="00924580"/>
    <w:rsid w:val="009373D8"/>
    <w:rsid w:val="00952D88"/>
    <w:rsid w:val="009841D6"/>
    <w:rsid w:val="0099142F"/>
    <w:rsid w:val="00993C69"/>
    <w:rsid w:val="009A6FA0"/>
    <w:rsid w:val="009F3264"/>
    <w:rsid w:val="009F3397"/>
    <w:rsid w:val="009F3420"/>
    <w:rsid w:val="009F5EAC"/>
    <w:rsid w:val="00A0438D"/>
    <w:rsid w:val="00A24A03"/>
    <w:rsid w:val="00A3177A"/>
    <w:rsid w:val="00A37ADE"/>
    <w:rsid w:val="00A54600"/>
    <w:rsid w:val="00A54737"/>
    <w:rsid w:val="00A719D6"/>
    <w:rsid w:val="00A90BA0"/>
    <w:rsid w:val="00AA1BC5"/>
    <w:rsid w:val="00AA492C"/>
    <w:rsid w:val="00AA71C1"/>
    <w:rsid w:val="00AC0F94"/>
    <w:rsid w:val="00AD391F"/>
    <w:rsid w:val="00AF65D7"/>
    <w:rsid w:val="00B04688"/>
    <w:rsid w:val="00B213B7"/>
    <w:rsid w:val="00B31C02"/>
    <w:rsid w:val="00B42F36"/>
    <w:rsid w:val="00B711DD"/>
    <w:rsid w:val="00B765CD"/>
    <w:rsid w:val="00B77D39"/>
    <w:rsid w:val="00B85E4C"/>
    <w:rsid w:val="00B93B51"/>
    <w:rsid w:val="00BA0187"/>
    <w:rsid w:val="00BA4BE5"/>
    <w:rsid w:val="00BA7E07"/>
    <w:rsid w:val="00BB416B"/>
    <w:rsid w:val="00BC6645"/>
    <w:rsid w:val="00BC741F"/>
    <w:rsid w:val="00BE0886"/>
    <w:rsid w:val="00BE7744"/>
    <w:rsid w:val="00BF3811"/>
    <w:rsid w:val="00C13D9E"/>
    <w:rsid w:val="00C35E8A"/>
    <w:rsid w:val="00C53C10"/>
    <w:rsid w:val="00C56702"/>
    <w:rsid w:val="00C56822"/>
    <w:rsid w:val="00C65BF4"/>
    <w:rsid w:val="00C70ABF"/>
    <w:rsid w:val="00C76418"/>
    <w:rsid w:val="00C80190"/>
    <w:rsid w:val="00C87C13"/>
    <w:rsid w:val="00C94357"/>
    <w:rsid w:val="00C95BE3"/>
    <w:rsid w:val="00C97DCD"/>
    <w:rsid w:val="00CA64CD"/>
    <w:rsid w:val="00CB0CF4"/>
    <w:rsid w:val="00CB61B3"/>
    <w:rsid w:val="00CB7C08"/>
    <w:rsid w:val="00CC1F6B"/>
    <w:rsid w:val="00CC2CE3"/>
    <w:rsid w:val="00CD211B"/>
    <w:rsid w:val="00CD4E35"/>
    <w:rsid w:val="00CE57DA"/>
    <w:rsid w:val="00D0349F"/>
    <w:rsid w:val="00D446D9"/>
    <w:rsid w:val="00D44CA8"/>
    <w:rsid w:val="00D46469"/>
    <w:rsid w:val="00D46BA4"/>
    <w:rsid w:val="00D47432"/>
    <w:rsid w:val="00D509AB"/>
    <w:rsid w:val="00D5416D"/>
    <w:rsid w:val="00D547DA"/>
    <w:rsid w:val="00D5693A"/>
    <w:rsid w:val="00D705F4"/>
    <w:rsid w:val="00D73F12"/>
    <w:rsid w:val="00DA4BA4"/>
    <w:rsid w:val="00DA6EFD"/>
    <w:rsid w:val="00DC4544"/>
    <w:rsid w:val="00DD3B9C"/>
    <w:rsid w:val="00DE356E"/>
    <w:rsid w:val="00E045AD"/>
    <w:rsid w:val="00E055B9"/>
    <w:rsid w:val="00E105C6"/>
    <w:rsid w:val="00E10D91"/>
    <w:rsid w:val="00E310EB"/>
    <w:rsid w:val="00E47B5B"/>
    <w:rsid w:val="00E61A95"/>
    <w:rsid w:val="00E65DDB"/>
    <w:rsid w:val="00E84F96"/>
    <w:rsid w:val="00EB064E"/>
    <w:rsid w:val="00EC0E2E"/>
    <w:rsid w:val="00ED3A2A"/>
    <w:rsid w:val="00EF05C4"/>
    <w:rsid w:val="00EF1A70"/>
    <w:rsid w:val="00F11A90"/>
    <w:rsid w:val="00F51FBE"/>
    <w:rsid w:val="00F630ED"/>
    <w:rsid w:val="00F65D93"/>
    <w:rsid w:val="00F65F1F"/>
    <w:rsid w:val="00F70E83"/>
    <w:rsid w:val="00F85997"/>
    <w:rsid w:val="00F8710D"/>
    <w:rsid w:val="00F8796B"/>
    <w:rsid w:val="00F90532"/>
    <w:rsid w:val="00FC4D2C"/>
    <w:rsid w:val="00FC7823"/>
    <w:rsid w:val="00FE29B3"/>
    <w:rsid w:val="00FF04B5"/>
    <w:rsid w:val="00FF34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8C92"/>
  <w15:chartTrackingRefBased/>
  <w15:docId w15:val="{1A5BFE5C-7537-4E4E-9CA5-E0FA862E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E"/>
    <w:rPr>
      <w:sz w:val="22"/>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styleId="FootnoteText">
    <w:name w:val="footnote text"/>
    <w:basedOn w:val="Normal"/>
    <w:link w:val="FootnoteTextChar"/>
    <w:uiPriority w:val="99"/>
    <w:semiHidden/>
    <w:unhideWhenUsed/>
    <w:rsid w:val="00B04688"/>
    <w:pPr>
      <w:spacing w:after="0" w:line="240" w:lineRule="auto"/>
    </w:pPr>
    <w:rPr>
      <w:sz w:val="20"/>
    </w:rPr>
  </w:style>
  <w:style w:type="character" w:customStyle="1" w:styleId="FootnoteTextChar">
    <w:name w:val="Footnote Text Char"/>
    <w:basedOn w:val="DefaultParagraphFont"/>
    <w:link w:val="FootnoteText"/>
    <w:uiPriority w:val="99"/>
    <w:semiHidden/>
    <w:rsid w:val="00B04688"/>
  </w:style>
  <w:style w:type="character" w:styleId="FootnoteReference">
    <w:name w:val="footnote reference"/>
    <w:basedOn w:val="DefaultParagraphFont"/>
    <w:uiPriority w:val="99"/>
    <w:semiHidden/>
    <w:unhideWhenUsed/>
    <w:rsid w:val="00B04688"/>
    <w:rPr>
      <w:vertAlign w:val="superscript"/>
    </w:rPr>
  </w:style>
  <w:style w:type="paragraph" w:styleId="BalloonText">
    <w:name w:val="Balloon Text"/>
    <w:basedOn w:val="Normal"/>
    <w:link w:val="BalloonTextChar"/>
    <w:uiPriority w:val="99"/>
    <w:semiHidden/>
    <w:unhideWhenUsed/>
    <w:rsid w:val="00CA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CD"/>
    <w:rPr>
      <w:rFonts w:ascii="Segoe UI" w:hAnsi="Segoe UI" w:cs="Segoe UI"/>
      <w:sz w:val="18"/>
      <w:szCs w:val="18"/>
    </w:rPr>
  </w:style>
  <w:style w:type="character" w:styleId="Hyperlink">
    <w:name w:val="Hyperlink"/>
    <w:basedOn w:val="DefaultParagraphFont"/>
    <w:uiPriority w:val="99"/>
    <w:unhideWhenUsed/>
    <w:rsid w:val="00E65DDB"/>
    <w:rPr>
      <w:color w:val="0000FF"/>
      <w:u w:val="single"/>
    </w:rPr>
  </w:style>
  <w:style w:type="character" w:styleId="UnresolvedMention">
    <w:name w:val="Unresolved Mention"/>
    <w:basedOn w:val="DefaultParagraphFont"/>
    <w:uiPriority w:val="99"/>
    <w:semiHidden/>
    <w:unhideWhenUsed/>
    <w:rsid w:val="00E65DDB"/>
    <w:rPr>
      <w:color w:val="605E5C"/>
      <w:shd w:val="clear" w:color="auto" w:fill="E1DFDD"/>
    </w:rPr>
  </w:style>
  <w:style w:type="paragraph" w:styleId="ListParagraph">
    <w:name w:val="List Paragraph"/>
    <w:basedOn w:val="Normal"/>
    <w:uiPriority w:val="34"/>
    <w:qFormat/>
    <w:rsid w:val="00CB0CF4"/>
    <w:pPr>
      <w:ind w:left="720"/>
      <w:contextualSpacing/>
    </w:pPr>
  </w:style>
  <w:style w:type="table" w:styleId="GridTable4-Accent1">
    <w:name w:val="Grid Table 4 Accent 1"/>
    <w:basedOn w:val="TableNormal"/>
    <w:uiPriority w:val="49"/>
    <w:rsid w:val="00062E5C"/>
    <w:pPr>
      <w:spacing w:after="0" w:line="240" w:lineRule="auto"/>
    </w:pPr>
    <w:rPr>
      <w:rFonts w:asciiTheme="minorHAnsi" w:hAnsiTheme="minorHAnsi"/>
      <w:sz w:val="22"/>
      <w:szCs w:val="22"/>
    </w:rPr>
    <w:tblPr>
      <w:tblStyleRowBandSize w:val="1"/>
      <w:tblStyleColBandSize w:val="1"/>
      <w:tblBorders>
        <w:top w:val="single" w:sz="4" w:space="0" w:color="34ADFF" w:themeColor="accent1" w:themeTint="99"/>
        <w:left w:val="single" w:sz="4" w:space="0" w:color="34ADFF" w:themeColor="accent1" w:themeTint="99"/>
        <w:bottom w:val="single" w:sz="4" w:space="0" w:color="34ADFF" w:themeColor="accent1" w:themeTint="99"/>
        <w:right w:val="single" w:sz="4" w:space="0" w:color="34ADFF" w:themeColor="accent1" w:themeTint="99"/>
        <w:insideH w:val="single" w:sz="4" w:space="0" w:color="34ADFF" w:themeColor="accent1" w:themeTint="99"/>
        <w:insideV w:val="single" w:sz="4" w:space="0" w:color="34ADFF" w:themeColor="accent1" w:themeTint="99"/>
      </w:tblBorders>
    </w:tblPr>
    <w:tblStylePr w:type="firstRow">
      <w:rPr>
        <w:b/>
        <w:bCs/>
        <w:color w:val="FFFFFF" w:themeColor="background1"/>
      </w:rPr>
      <w:tblPr/>
      <w:tcPr>
        <w:tcBorders>
          <w:top w:val="single" w:sz="4" w:space="0" w:color="0067AC" w:themeColor="accent1"/>
          <w:left w:val="single" w:sz="4" w:space="0" w:color="0067AC" w:themeColor="accent1"/>
          <w:bottom w:val="single" w:sz="4" w:space="0" w:color="0067AC" w:themeColor="accent1"/>
          <w:right w:val="single" w:sz="4" w:space="0" w:color="0067AC" w:themeColor="accent1"/>
          <w:insideH w:val="nil"/>
          <w:insideV w:val="nil"/>
        </w:tcBorders>
        <w:shd w:val="clear" w:color="auto" w:fill="0067AC" w:themeFill="accent1"/>
      </w:tcPr>
    </w:tblStylePr>
    <w:tblStylePr w:type="lastRow">
      <w:rPr>
        <w:b/>
        <w:bCs/>
      </w:rPr>
      <w:tblPr/>
      <w:tcPr>
        <w:tcBorders>
          <w:top w:val="double" w:sz="4" w:space="0" w:color="0067AC" w:themeColor="accent1"/>
        </w:tcBorders>
      </w:tcPr>
    </w:tblStylePr>
    <w:tblStylePr w:type="firstCol">
      <w:rPr>
        <w:b/>
        <w:bCs/>
      </w:rPr>
    </w:tblStylePr>
    <w:tblStylePr w:type="lastCol">
      <w:rPr>
        <w:b/>
        <w:bCs/>
      </w:rPr>
    </w:tblStylePr>
    <w:tblStylePr w:type="band1Vert">
      <w:tblPr/>
      <w:tcPr>
        <w:shd w:val="clear" w:color="auto" w:fill="BBE3FF" w:themeFill="accent1" w:themeFillTint="33"/>
      </w:tcPr>
    </w:tblStylePr>
    <w:tblStylePr w:type="band1Horz">
      <w:tblPr/>
      <w:tcPr>
        <w:shd w:val="clear" w:color="auto" w:fill="BBE3FF" w:themeFill="accent1" w:themeFillTint="33"/>
      </w:tcPr>
    </w:tblStylePr>
  </w:style>
  <w:style w:type="character" w:styleId="CommentReference">
    <w:name w:val="annotation reference"/>
    <w:basedOn w:val="DefaultParagraphFont"/>
    <w:uiPriority w:val="99"/>
    <w:semiHidden/>
    <w:unhideWhenUsed/>
    <w:rsid w:val="007C4FB8"/>
    <w:rPr>
      <w:sz w:val="16"/>
      <w:szCs w:val="16"/>
    </w:rPr>
  </w:style>
  <w:style w:type="paragraph" w:styleId="CommentText">
    <w:name w:val="annotation text"/>
    <w:basedOn w:val="Normal"/>
    <w:link w:val="CommentTextChar"/>
    <w:uiPriority w:val="99"/>
    <w:unhideWhenUsed/>
    <w:rsid w:val="007C4FB8"/>
    <w:pPr>
      <w:spacing w:line="240" w:lineRule="auto"/>
    </w:pPr>
    <w:rPr>
      <w:sz w:val="20"/>
    </w:rPr>
  </w:style>
  <w:style w:type="character" w:customStyle="1" w:styleId="CommentTextChar">
    <w:name w:val="Comment Text Char"/>
    <w:basedOn w:val="DefaultParagraphFont"/>
    <w:link w:val="CommentText"/>
    <w:uiPriority w:val="99"/>
    <w:rsid w:val="007C4FB8"/>
  </w:style>
  <w:style w:type="paragraph" w:styleId="CommentSubject">
    <w:name w:val="annotation subject"/>
    <w:basedOn w:val="CommentText"/>
    <w:next w:val="CommentText"/>
    <w:link w:val="CommentSubjectChar"/>
    <w:uiPriority w:val="99"/>
    <w:semiHidden/>
    <w:unhideWhenUsed/>
    <w:rsid w:val="007C4FB8"/>
    <w:rPr>
      <w:b/>
      <w:bCs/>
    </w:rPr>
  </w:style>
  <w:style w:type="character" w:customStyle="1" w:styleId="CommentSubjectChar">
    <w:name w:val="Comment Subject Char"/>
    <w:basedOn w:val="CommentTextChar"/>
    <w:link w:val="CommentSubject"/>
    <w:uiPriority w:val="99"/>
    <w:semiHidden/>
    <w:rsid w:val="007C4FB8"/>
    <w:rPr>
      <w:b/>
      <w:bCs/>
    </w:rPr>
  </w:style>
  <w:style w:type="paragraph" w:styleId="Revision">
    <w:name w:val="Revision"/>
    <w:hidden/>
    <w:uiPriority w:val="99"/>
    <w:semiHidden/>
    <w:rsid w:val="00FF3440"/>
    <w:pPr>
      <w:spacing w:after="0" w:line="240" w:lineRule="auto"/>
    </w:pPr>
    <w:rPr>
      <w:sz w:val="22"/>
    </w:rPr>
  </w:style>
  <w:style w:type="table" w:styleId="GridTable4-Accent3">
    <w:name w:val="Grid Table 4 Accent 3"/>
    <w:basedOn w:val="TableNormal"/>
    <w:uiPriority w:val="49"/>
    <w:rsid w:val="00CC2CE3"/>
    <w:pPr>
      <w:spacing w:after="0" w:line="240" w:lineRule="auto"/>
    </w:pPr>
    <w:tblPr>
      <w:tblStyleRowBandSize w:val="1"/>
      <w:tblStyleColBandSize w:val="1"/>
      <w:tblBorders>
        <w:top w:val="single" w:sz="4" w:space="0" w:color="C7CBCD" w:themeColor="accent3" w:themeTint="99"/>
        <w:left w:val="single" w:sz="4" w:space="0" w:color="C7CBCD" w:themeColor="accent3" w:themeTint="99"/>
        <w:bottom w:val="single" w:sz="4" w:space="0" w:color="C7CBCD" w:themeColor="accent3" w:themeTint="99"/>
        <w:right w:val="single" w:sz="4" w:space="0" w:color="C7CBCD" w:themeColor="accent3" w:themeTint="99"/>
        <w:insideH w:val="single" w:sz="4" w:space="0" w:color="C7CBCD" w:themeColor="accent3" w:themeTint="99"/>
        <w:insideV w:val="single" w:sz="4" w:space="0" w:color="C7CBCD" w:themeColor="accent3" w:themeTint="99"/>
      </w:tblBorders>
    </w:tblPr>
    <w:tblStylePr w:type="firstRow">
      <w:rPr>
        <w:b/>
        <w:bCs/>
        <w:color w:val="FFFFFF" w:themeColor="background1"/>
      </w:rPr>
      <w:tblPr/>
      <w:tcPr>
        <w:tcBorders>
          <w:top w:val="single" w:sz="4" w:space="0" w:color="A2A9AD" w:themeColor="accent3"/>
          <w:left w:val="single" w:sz="4" w:space="0" w:color="A2A9AD" w:themeColor="accent3"/>
          <w:bottom w:val="single" w:sz="4" w:space="0" w:color="A2A9AD" w:themeColor="accent3"/>
          <w:right w:val="single" w:sz="4" w:space="0" w:color="A2A9AD" w:themeColor="accent3"/>
          <w:insideH w:val="nil"/>
          <w:insideV w:val="nil"/>
        </w:tcBorders>
        <w:shd w:val="clear" w:color="auto" w:fill="A2A9AD" w:themeFill="accent3"/>
      </w:tcPr>
    </w:tblStylePr>
    <w:tblStylePr w:type="lastRow">
      <w:rPr>
        <w:b/>
        <w:bCs/>
      </w:rPr>
      <w:tblPr/>
      <w:tcPr>
        <w:tcBorders>
          <w:top w:val="double" w:sz="4" w:space="0" w:color="A2A9AD" w:themeColor="accent3"/>
        </w:tcBorders>
      </w:tcPr>
    </w:tblStylePr>
    <w:tblStylePr w:type="firstCol">
      <w:rPr>
        <w:b/>
        <w:bCs/>
      </w:rPr>
    </w:tblStylePr>
    <w:tblStylePr w:type="lastCol">
      <w:rPr>
        <w:b/>
        <w:bCs/>
      </w:rPr>
    </w:tblStylePr>
    <w:tblStylePr w:type="band1Vert">
      <w:tblPr/>
      <w:tcPr>
        <w:shd w:val="clear" w:color="auto" w:fill="ECEDEE" w:themeFill="accent3" w:themeFillTint="33"/>
      </w:tcPr>
    </w:tblStylePr>
    <w:tblStylePr w:type="band1Horz">
      <w:tblPr/>
      <w:tcPr>
        <w:shd w:val="clear" w:color="auto" w:fill="ECEDEE" w:themeFill="accent3" w:themeFillTint="33"/>
      </w:tcPr>
    </w:tblStylePr>
  </w:style>
  <w:style w:type="paragraph" w:styleId="Caption">
    <w:name w:val="caption"/>
    <w:basedOn w:val="Normal"/>
    <w:next w:val="Normal"/>
    <w:uiPriority w:val="35"/>
    <w:unhideWhenUsed/>
    <w:qFormat/>
    <w:rsid w:val="00CC2CE3"/>
    <w:pPr>
      <w:spacing w:after="200" w:line="240" w:lineRule="auto"/>
    </w:pPr>
    <w:rPr>
      <w:i/>
      <w:iCs/>
      <w:color w:val="44546A" w:themeColor="text2"/>
      <w:sz w:val="18"/>
      <w:szCs w:val="18"/>
    </w:rPr>
  </w:style>
  <w:style w:type="paragraph" w:customStyle="1" w:styleId="Normal1">
    <w:name w:val="Normal1"/>
    <w:basedOn w:val="Normal"/>
    <w:rsid w:val="00E045A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63770">
      <w:bodyDiv w:val="1"/>
      <w:marLeft w:val="0"/>
      <w:marRight w:val="0"/>
      <w:marTop w:val="0"/>
      <w:marBottom w:val="0"/>
      <w:divBdr>
        <w:top w:val="none" w:sz="0" w:space="0" w:color="auto"/>
        <w:left w:val="none" w:sz="0" w:space="0" w:color="auto"/>
        <w:bottom w:val="none" w:sz="0" w:space="0" w:color="auto"/>
        <w:right w:val="none" w:sz="0" w:space="0" w:color="auto"/>
      </w:divBdr>
    </w:div>
    <w:div w:id="910967245">
      <w:bodyDiv w:val="1"/>
      <w:marLeft w:val="0"/>
      <w:marRight w:val="0"/>
      <w:marTop w:val="0"/>
      <w:marBottom w:val="0"/>
      <w:divBdr>
        <w:top w:val="none" w:sz="0" w:space="0" w:color="auto"/>
        <w:left w:val="none" w:sz="0" w:space="0" w:color="auto"/>
        <w:bottom w:val="none" w:sz="0" w:space="0" w:color="auto"/>
        <w:right w:val="none" w:sz="0" w:space="0" w:color="auto"/>
      </w:divBdr>
    </w:div>
    <w:div w:id="1588880771">
      <w:bodyDiv w:val="1"/>
      <w:marLeft w:val="0"/>
      <w:marRight w:val="0"/>
      <w:marTop w:val="0"/>
      <w:marBottom w:val="0"/>
      <w:divBdr>
        <w:top w:val="none" w:sz="0" w:space="0" w:color="auto"/>
        <w:left w:val="none" w:sz="0" w:space="0" w:color="auto"/>
        <w:bottom w:val="none" w:sz="0" w:space="0" w:color="auto"/>
        <w:right w:val="none" w:sz="0" w:space="0" w:color="auto"/>
      </w:divBdr>
    </w:div>
    <w:div w:id="16550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platobne-syste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designated_payment_and_securities_" TargetMode="Externa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C9B2-1FFB-4D2E-92CF-A220205E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Buznová Mariana</dc:creator>
  <cp:keywords/>
  <dc:description/>
  <cp:lastModifiedBy>Róbert Matuška</cp:lastModifiedBy>
  <cp:revision>1</cp:revision>
  <cp:lastPrinted>2020-03-04T13:17:00Z</cp:lastPrinted>
  <dcterms:created xsi:type="dcterms:W3CDTF">2021-02-25T09:10:00Z</dcterms:created>
  <dcterms:modified xsi:type="dcterms:W3CDTF">2021-02-25T09:10:00Z</dcterms:modified>
</cp:coreProperties>
</file>