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B2C13" w:rsidRDefault="00FB2C13" w:rsidP="00FB2C13">
      <w:pPr>
        <w:pStyle w:val="Heading1"/>
        <w:jc w:val="center"/>
      </w:pPr>
      <w:r>
        <w:t xml:space="preserve">Informácia k postupu vedenie účtovníctva a zostavovania účtovnej závierky </w:t>
      </w:r>
      <w:r w:rsidR="00F61B9A">
        <w:t>niektorými poskytovateľmi platobných služieb</w:t>
      </w:r>
    </w:p>
    <w:p w:rsidR="00FB2C13" w:rsidRDefault="00FB2C13" w:rsidP="00FB2C13">
      <w:pPr>
        <w:rPr>
          <w:rFonts w:asciiTheme="minorHAnsi" w:hAnsiTheme="minorHAnsi" w:cstheme="minorHAnsi"/>
        </w:rPr>
      </w:pPr>
    </w:p>
    <w:p w:rsidR="00FB2C13" w:rsidRPr="00FB2C13" w:rsidRDefault="00FB2C13" w:rsidP="00FB2C13">
      <w:pPr>
        <w:rPr>
          <w:rFonts w:asciiTheme="minorHAnsi" w:hAnsiTheme="minorHAnsi" w:cstheme="minorHAnsi"/>
        </w:rPr>
      </w:pPr>
      <w:r w:rsidRPr="00FB2C13">
        <w:rPr>
          <w:rFonts w:asciiTheme="minorHAnsi" w:hAnsiTheme="minorHAnsi" w:cstheme="minorHAnsi"/>
        </w:rPr>
        <w:t>Zákon 492/2009 Z. z. o platobných službách (ďalej len „zákon“) riadi vo veci poskytovania platobných služieb štyri druhy subjektov:</w:t>
      </w:r>
    </w:p>
    <w:p w:rsidR="00FB2C13" w:rsidRPr="00FB2C13" w:rsidRDefault="00FB2C13" w:rsidP="00FB2C13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FB2C13">
        <w:rPr>
          <w:rFonts w:asciiTheme="minorHAnsi" w:eastAsia="Times New Roman" w:hAnsiTheme="minorHAnsi" w:cstheme="minorHAnsi"/>
        </w:rPr>
        <w:t>Platobná inštitúcia podľa § 63 (povolenie na poskytovanie platobných služieb),</w:t>
      </w:r>
    </w:p>
    <w:p w:rsidR="00FB2C13" w:rsidRPr="00FB2C13" w:rsidRDefault="00FB2C13" w:rsidP="00FB2C13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FB2C13">
        <w:rPr>
          <w:rFonts w:asciiTheme="minorHAnsi" w:eastAsia="Times New Roman" w:hAnsiTheme="minorHAnsi" w:cstheme="minorHAnsi"/>
        </w:rPr>
        <w:t>Poskytovateľ platobných služieb v obmedzenom rozsahu podľa § 79a (rozhodnutie o registrácii na poskytovanie platobných služieb v obmedzenom rozsahu),</w:t>
      </w:r>
    </w:p>
    <w:p w:rsidR="00FB2C13" w:rsidRPr="00FB2C13" w:rsidRDefault="00FB2C13" w:rsidP="00FB2C13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FB2C13">
        <w:rPr>
          <w:rFonts w:asciiTheme="minorHAnsi" w:eastAsia="Times New Roman" w:hAnsiTheme="minorHAnsi" w:cstheme="minorHAnsi"/>
        </w:rPr>
        <w:t>Limitovaný poskytovateľ podľa § 97a (písomné oznámenie o plánovanom začatí poskytovania platobne služby).</w:t>
      </w:r>
    </w:p>
    <w:p w:rsidR="00FB2C13" w:rsidRPr="00FB2C13" w:rsidRDefault="00FB2C13" w:rsidP="00FB2C13">
      <w:pPr>
        <w:numPr>
          <w:ilvl w:val="0"/>
          <w:numId w:val="1"/>
        </w:numPr>
        <w:rPr>
          <w:rFonts w:asciiTheme="minorHAnsi" w:eastAsia="Times New Roman" w:hAnsiTheme="minorHAnsi" w:cstheme="minorHAnsi"/>
        </w:rPr>
      </w:pPr>
      <w:r w:rsidRPr="00FB2C13">
        <w:rPr>
          <w:rFonts w:asciiTheme="minorHAnsi" w:eastAsia="Times New Roman" w:hAnsiTheme="minorHAnsi" w:cstheme="minorHAnsi"/>
        </w:rPr>
        <w:t xml:space="preserve">poskytovateľ služieb informovania o platobnom účte podľa § 79b (rozhodnutia o registrácii na poskytovanie služieb informovania o platobnom účte) </w:t>
      </w:r>
    </w:p>
    <w:p w:rsidR="00FB2C13" w:rsidRPr="00FB2C13" w:rsidRDefault="00FB2C13" w:rsidP="00FB2C13">
      <w:pPr>
        <w:pStyle w:val="ListParagraph"/>
        <w:ind w:left="1080"/>
        <w:rPr>
          <w:rFonts w:asciiTheme="minorHAnsi" w:hAnsiTheme="minorHAnsi" w:cstheme="minorHAnsi"/>
        </w:rPr>
      </w:pPr>
    </w:p>
    <w:p w:rsidR="00FB2C13" w:rsidRPr="00FB2C13" w:rsidRDefault="00FB2C13" w:rsidP="00FB2C13">
      <w:pPr>
        <w:ind w:left="708"/>
        <w:rPr>
          <w:rFonts w:asciiTheme="minorHAnsi" w:hAnsiTheme="minorHAnsi" w:cstheme="minorHAnsi"/>
        </w:rPr>
      </w:pPr>
      <w:r w:rsidRPr="00FB2C13">
        <w:rPr>
          <w:rFonts w:asciiTheme="minorHAnsi" w:hAnsiTheme="minorHAnsi" w:cstheme="minorHAnsi"/>
        </w:rPr>
        <w:t>Ako platobná inštitúcia je v zákone označený len subjekt podľa písm. a) predchádzajúceho odstavca</w:t>
      </w:r>
    </w:p>
    <w:p w:rsidR="00FB2C13" w:rsidRPr="00FB2C13" w:rsidRDefault="00FB2C13" w:rsidP="00FB2C13">
      <w:pPr>
        <w:rPr>
          <w:rFonts w:asciiTheme="minorHAnsi" w:hAnsiTheme="minorHAnsi" w:cstheme="minorHAnsi"/>
        </w:rPr>
      </w:pPr>
      <w:r w:rsidRPr="00FB2C13">
        <w:rPr>
          <w:rFonts w:asciiTheme="minorHAnsi" w:hAnsiTheme="minorHAnsi" w:cstheme="minorHAnsi"/>
        </w:rPr>
        <w:t xml:space="preserve">               </w:t>
      </w:r>
    </w:p>
    <w:p w:rsidR="00FB2C13" w:rsidRPr="00FB2C13" w:rsidRDefault="00FB2C13" w:rsidP="00FB2C13">
      <w:pPr>
        <w:ind w:firstLine="708"/>
        <w:rPr>
          <w:rFonts w:asciiTheme="minorHAnsi" w:hAnsiTheme="minorHAnsi" w:cstheme="minorHAnsi"/>
        </w:rPr>
      </w:pPr>
      <w:r w:rsidRPr="00FB2C13">
        <w:rPr>
          <w:rFonts w:asciiTheme="minorHAnsi" w:hAnsiTheme="minorHAnsi" w:cstheme="minorHAnsi"/>
        </w:rPr>
        <w:t>V zákone č. 431/2002 Z. z. o účtovníctve v § 2 ods. 14  sú platobné inštitúcie vymedzené ako subjekty verejného záujmu.</w:t>
      </w:r>
    </w:p>
    <w:p w:rsidR="00FB2C13" w:rsidRPr="00FB2C13" w:rsidRDefault="00FB2C13" w:rsidP="00FB2C13">
      <w:pPr>
        <w:ind w:firstLine="708"/>
        <w:rPr>
          <w:rFonts w:asciiTheme="minorHAnsi" w:hAnsiTheme="minorHAnsi" w:cstheme="minorHAnsi"/>
        </w:rPr>
      </w:pPr>
    </w:p>
    <w:p w:rsidR="00FB2C13" w:rsidRPr="00FB2C13" w:rsidRDefault="00FB2C13" w:rsidP="00FB2C13">
      <w:pPr>
        <w:ind w:firstLine="708"/>
        <w:rPr>
          <w:rFonts w:asciiTheme="minorHAnsi" w:hAnsiTheme="minorHAnsi" w:cstheme="minorHAnsi"/>
        </w:rPr>
      </w:pPr>
      <w:r w:rsidRPr="00FB2C13">
        <w:rPr>
          <w:rFonts w:asciiTheme="minorHAnsi" w:hAnsiTheme="minorHAnsi" w:cstheme="minorHAnsi"/>
        </w:rPr>
        <w:t>Pre podnikateľov sú jedny postupy účtovania (vylúčené sú z nich tie účtovné jednotky, pre ktorých existujú samostatné postupy účtovania) a tri postupy zostavovania účtovnej závierky, jednými z nich sú postupy pre veľké účtovné jednotky a subjekty verejného záujmu (opatrenie č. MF/23377/2014-74). Z osobnej pôsobnosti týchto postupov sú vylúčené tie subjekty verejného záujmu ktoré sú platobnými inštitúciami.</w:t>
      </w:r>
    </w:p>
    <w:p w:rsidR="00FB2C13" w:rsidRPr="00FB2C13" w:rsidRDefault="00FB2C13" w:rsidP="00FB2C13">
      <w:pPr>
        <w:ind w:firstLine="708"/>
        <w:rPr>
          <w:rFonts w:asciiTheme="minorHAnsi" w:hAnsiTheme="minorHAnsi" w:cstheme="minorHAnsi"/>
        </w:rPr>
      </w:pPr>
    </w:p>
    <w:p w:rsidR="00FB2C13" w:rsidRPr="00FB2C13" w:rsidRDefault="00FB2C13" w:rsidP="00FB2C13">
      <w:pPr>
        <w:ind w:firstLine="708"/>
        <w:rPr>
          <w:rFonts w:asciiTheme="minorHAnsi" w:hAnsiTheme="minorHAnsi" w:cstheme="minorHAnsi"/>
        </w:rPr>
      </w:pPr>
      <w:r w:rsidRPr="00FB2C13">
        <w:rPr>
          <w:rFonts w:asciiTheme="minorHAnsi" w:hAnsiTheme="minorHAnsi" w:cstheme="minorHAnsi"/>
        </w:rPr>
        <w:t>Platobné inštitúcie sú zahrnuté v osobnej pôsobnosti opatrenia č. MF/22273/2008-74, ktoré ustanovuje postupy účtovania aj zostavovania účtovnej závierky. Podľa tohto opatrenia predkladá platobná inštitúcia a inštitúcia elektronických peňazí účtovnú závierky vždy a v každom prípade.</w:t>
      </w:r>
    </w:p>
    <w:p w:rsidR="00FB2C13" w:rsidRPr="00FB2C13" w:rsidRDefault="00FB2C13" w:rsidP="00FB2C13">
      <w:pPr>
        <w:ind w:firstLine="708"/>
        <w:rPr>
          <w:rFonts w:asciiTheme="minorHAnsi" w:hAnsiTheme="minorHAnsi" w:cstheme="minorHAnsi"/>
        </w:rPr>
      </w:pPr>
    </w:p>
    <w:p w:rsidR="00FB2C13" w:rsidRPr="00FB2C13" w:rsidRDefault="00FB2C13" w:rsidP="00FB2C13">
      <w:pPr>
        <w:ind w:firstLine="708"/>
        <w:rPr>
          <w:rFonts w:asciiTheme="minorHAnsi" w:hAnsiTheme="minorHAnsi" w:cstheme="minorHAnsi"/>
        </w:rPr>
      </w:pPr>
      <w:r w:rsidRPr="00FB2C13">
        <w:rPr>
          <w:rFonts w:asciiTheme="minorHAnsi" w:hAnsiTheme="minorHAnsi" w:cstheme="minorHAnsi"/>
        </w:rPr>
        <w:t xml:space="preserve">Subjekty podľa písmena b) a c) vedú účtovníctvo a zostavujú účtovnú závierky podľa postupov pre podnikateľov. Rovnako tak aj subjekty podľa písmena d), ak nemajú udelené iný druh povolenia vydaného NBS (napr. obchodník s cennými papiermi). </w:t>
      </w:r>
    </w:p>
    <w:p w:rsidR="00FB2C13" w:rsidRPr="00FB2C13" w:rsidRDefault="00FB2C13" w:rsidP="00FB2C13">
      <w:pPr>
        <w:ind w:firstLine="708"/>
        <w:rPr>
          <w:rFonts w:asciiTheme="minorHAnsi" w:hAnsiTheme="minorHAnsi" w:cstheme="minorHAnsi"/>
        </w:rPr>
      </w:pPr>
    </w:p>
    <w:p w:rsidR="00FB2C13" w:rsidRPr="00FB2C13" w:rsidRDefault="00FB2C13" w:rsidP="00FB2C13">
      <w:pPr>
        <w:ind w:firstLine="708"/>
        <w:rPr>
          <w:rFonts w:asciiTheme="minorHAnsi" w:hAnsiTheme="minorHAnsi" w:cstheme="minorHAnsi"/>
        </w:rPr>
      </w:pPr>
      <w:r w:rsidRPr="00FB2C13">
        <w:rPr>
          <w:rFonts w:asciiTheme="minorHAnsi" w:hAnsiTheme="minorHAnsi" w:cstheme="minorHAnsi"/>
        </w:rPr>
        <w:t>Uvedené sa týka subjektov, ktorí nezostavujú svoju individuálnu účtovnú závierku podľa nariadenia Európskeho parlamentu a Rady (ES) č. 1606/2002 z 19. júla 2002 o uplatňovaní medzinárodných účtovných noriem (Mimoriadne vydanie Ú. v. EÚ, kap. 13/zv. 029) v platnom znení.</w:t>
      </w:r>
    </w:p>
    <w:p w:rsidR="00FB2C13" w:rsidRPr="00FB2C13" w:rsidRDefault="00FB2C13" w:rsidP="00FB2C13">
      <w:pPr>
        <w:ind w:firstLine="708"/>
        <w:rPr>
          <w:rFonts w:asciiTheme="minorHAnsi" w:hAnsiTheme="minorHAnsi" w:cstheme="minorHAnsi"/>
        </w:rPr>
      </w:pPr>
    </w:p>
    <w:p w:rsidR="00FB2C13" w:rsidRPr="00FB2C13" w:rsidRDefault="00FB2C13" w:rsidP="00FB2C13">
      <w:pPr>
        <w:rPr>
          <w:rFonts w:asciiTheme="minorHAnsi" w:hAnsiTheme="minorHAnsi" w:cstheme="minorHAnsi"/>
        </w:rPr>
      </w:pPr>
      <w:r w:rsidRPr="00FB2C13">
        <w:rPr>
          <w:rFonts w:asciiTheme="minorHAnsi" w:hAnsiTheme="minorHAnsi" w:cstheme="minorHAnsi"/>
        </w:rPr>
        <w:t xml:space="preserve">V prípade ďalších otázok, je možné sa obrátiť na MFSR, p. Kučera </w:t>
      </w:r>
      <w:hyperlink r:id="rId8" w:history="1">
        <w:r w:rsidRPr="00FB2C13">
          <w:rPr>
            <w:rStyle w:val="Hyperlink"/>
            <w:rFonts w:asciiTheme="minorHAnsi" w:hAnsiTheme="minorHAnsi" w:cstheme="minorHAnsi"/>
          </w:rPr>
          <w:t>lubomir.kucera@mfsr.sk</w:t>
        </w:r>
      </w:hyperlink>
      <w:r w:rsidRPr="00FB2C13">
        <w:rPr>
          <w:rFonts w:asciiTheme="minorHAnsi" w:hAnsiTheme="minorHAnsi" w:cstheme="minorHAnsi"/>
        </w:rPr>
        <w:t xml:space="preserve">. </w:t>
      </w:r>
    </w:p>
    <w:p w:rsidR="00FF04B5" w:rsidRPr="00FB2C13" w:rsidRDefault="00FF04B5" w:rsidP="00B42F36">
      <w:pPr>
        <w:rPr>
          <w:rFonts w:asciiTheme="minorHAnsi" w:hAnsiTheme="minorHAnsi" w:cstheme="minorHAnsi"/>
        </w:rPr>
      </w:pPr>
    </w:p>
    <w:sectPr w:rsidR="00FF04B5" w:rsidRPr="00FB2C13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B7C62" w:rsidRDefault="00EB7C62" w:rsidP="0009480D">
      <w:r>
        <w:separator/>
      </w:r>
    </w:p>
  </w:endnote>
  <w:endnote w:type="continuationSeparator" w:id="0">
    <w:p w:rsidR="00EB7C62" w:rsidRDefault="00EB7C62" w:rsidP="00094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9480D" w:rsidRDefault="0009480D" w:rsidP="0009480D">
    <w:pPr>
      <w:pStyle w:val="Patic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B7C62" w:rsidRDefault="00EB7C62" w:rsidP="0009480D">
      <w:r>
        <w:separator/>
      </w:r>
    </w:p>
  </w:footnote>
  <w:footnote w:type="continuationSeparator" w:id="0">
    <w:p w:rsidR="00EB7C62" w:rsidRDefault="00EB7C62" w:rsidP="000948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7D6875"/>
    <w:multiLevelType w:val="hybridMultilevel"/>
    <w:tmpl w:val="4CE8B29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C13"/>
    <w:rsid w:val="0009480D"/>
    <w:rsid w:val="00130860"/>
    <w:rsid w:val="001663B6"/>
    <w:rsid w:val="001A694C"/>
    <w:rsid w:val="001D01FE"/>
    <w:rsid w:val="001D5F9F"/>
    <w:rsid w:val="00225679"/>
    <w:rsid w:val="002B4CD0"/>
    <w:rsid w:val="002D0B73"/>
    <w:rsid w:val="003636B5"/>
    <w:rsid w:val="00392F01"/>
    <w:rsid w:val="004100B0"/>
    <w:rsid w:val="00445B18"/>
    <w:rsid w:val="004D7E2D"/>
    <w:rsid w:val="005316F2"/>
    <w:rsid w:val="00564381"/>
    <w:rsid w:val="005939CC"/>
    <w:rsid w:val="005A1CD3"/>
    <w:rsid w:val="006470E3"/>
    <w:rsid w:val="00782367"/>
    <w:rsid w:val="00787300"/>
    <w:rsid w:val="009841D6"/>
    <w:rsid w:val="009922A3"/>
    <w:rsid w:val="009A6FA0"/>
    <w:rsid w:val="00A719D6"/>
    <w:rsid w:val="00B31C02"/>
    <w:rsid w:val="00B42F36"/>
    <w:rsid w:val="00BA4BE5"/>
    <w:rsid w:val="00C35E8A"/>
    <w:rsid w:val="00CB7C08"/>
    <w:rsid w:val="00E12F34"/>
    <w:rsid w:val="00EB7C62"/>
    <w:rsid w:val="00F61B9A"/>
    <w:rsid w:val="00FB2C13"/>
    <w:rsid w:val="00FE29B3"/>
    <w:rsid w:val="00FF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027ED"/>
  <w15:chartTrackingRefBased/>
  <w15:docId w15:val="{810AEED9-0B9E-4723-849D-958CF93BF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lang w:val="sk-SK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13"/>
    <w:pPr>
      <w:spacing w:after="0" w:line="240" w:lineRule="auto"/>
    </w:pPr>
    <w:rPr>
      <w:rFonts w:ascii="Calibri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841D6"/>
    <w:pPr>
      <w:keepNext/>
      <w:keepLines/>
      <w:spacing w:before="240"/>
      <w:outlineLvl w:val="0"/>
    </w:pPr>
    <w:rPr>
      <w:rFonts w:ascii="Verdana" w:eastAsiaTheme="majorEastAsia" w:hAnsi="Verdana" w:cstheme="majorBidi"/>
      <w:color w:val="0067A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41D6"/>
    <w:pPr>
      <w:keepNext/>
      <w:keepLines/>
      <w:spacing w:before="120" w:after="240"/>
      <w:outlineLvl w:val="1"/>
    </w:pPr>
    <w:rPr>
      <w:rFonts w:ascii="Verdana" w:eastAsiaTheme="majorEastAsia" w:hAnsi="Verdana" w:cstheme="majorBidi"/>
      <w:color w:val="0067AC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41D6"/>
    <w:pPr>
      <w:keepNext/>
      <w:keepLines/>
      <w:spacing w:before="240"/>
      <w:outlineLvl w:val="2"/>
    </w:pPr>
    <w:rPr>
      <w:rFonts w:ascii="Verdana" w:eastAsiaTheme="majorEastAsia" w:hAnsi="Verdana" w:cstheme="majorBidi"/>
      <w:color w:val="0067A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41D6"/>
    <w:rPr>
      <w:rFonts w:ascii="Verdana" w:eastAsiaTheme="majorEastAsia" w:hAnsi="Verdana" w:cstheme="majorBidi"/>
      <w:color w:val="0067A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841D6"/>
    <w:rPr>
      <w:rFonts w:ascii="Verdana" w:eastAsiaTheme="majorEastAsia" w:hAnsi="Verdana" w:cstheme="majorBidi"/>
      <w:color w:val="0067AC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841D6"/>
    <w:rPr>
      <w:rFonts w:ascii="Verdana" w:eastAsiaTheme="majorEastAsia" w:hAnsi="Verdana" w:cstheme="majorBidi"/>
      <w:color w:val="0067AC"/>
      <w:sz w:val="24"/>
      <w:szCs w:val="24"/>
    </w:rPr>
  </w:style>
  <w:style w:type="paragraph" w:styleId="NoSpacing">
    <w:name w:val="No Spacing"/>
    <w:uiPriority w:val="1"/>
    <w:rsid w:val="005316F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948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80D"/>
  </w:style>
  <w:style w:type="paragraph" w:styleId="Footer">
    <w:name w:val="footer"/>
    <w:basedOn w:val="Normal"/>
    <w:link w:val="FooterChar"/>
    <w:uiPriority w:val="99"/>
    <w:unhideWhenUsed/>
    <w:rsid w:val="000948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80D"/>
  </w:style>
  <w:style w:type="paragraph" w:customStyle="1" w:styleId="Paticka">
    <w:name w:val="Paticka"/>
    <w:basedOn w:val="Footer"/>
    <w:link w:val="PatickaChar"/>
    <w:qFormat/>
    <w:rsid w:val="0009480D"/>
    <w:rPr>
      <w:rFonts w:ascii="Verdana" w:hAnsi="Verdana"/>
      <w:sz w:val="14"/>
    </w:rPr>
  </w:style>
  <w:style w:type="paragraph" w:customStyle="1" w:styleId="Poznamka">
    <w:name w:val="Poznamka"/>
    <w:link w:val="PoznamkaChar"/>
    <w:qFormat/>
    <w:rsid w:val="0009480D"/>
    <w:rPr>
      <w:rFonts w:ascii="Verdana" w:hAnsi="Verdana"/>
      <w:sz w:val="14"/>
    </w:rPr>
  </w:style>
  <w:style w:type="character" w:customStyle="1" w:styleId="PatickaChar">
    <w:name w:val="Paticka Char"/>
    <w:basedOn w:val="FooterChar"/>
    <w:link w:val="Paticka"/>
    <w:rsid w:val="0009480D"/>
    <w:rPr>
      <w:rFonts w:ascii="Verdana" w:hAnsi="Verdana"/>
      <w:sz w:val="14"/>
    </w:rPr>
  </w:style>
  <w:style w:type="character" w:customStyle="1" w:styleId="PoznamkaChar">
    <w:name w:val="Poznamka Char"/>
    <w:basedOn w:val="DefaultParagraphFont"/>
    <w:link w:val="Poznamka"/>
    <w:rsid w:val="0009480D"/>
    <w:rPr>
      <w:rFonts w:ascii="Verdana" w:hAnsi="Verdana"/>
      <w:sz w:val="14"/>
    </w:rPr>
  </w:style>
  <w:style w:type="character" w:styleId="Hyperlink">
    <w:name w:val="Hyperlink"/>
    <w:basedOn w:val="DefaultParagraphFont"/>
    <w:uiPriority w:val="99"/>
    <w:semiHidden/>
    <w:unhideWhenUsed/>
    <w:rsid w:val="00FB2C1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B2C1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5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omir.kucera@mfsr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BS_Stud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7AC"/>
      </a:accent1>
      <a:accent2>
        <a:srgbClr val="D15F27"/>
      </a:accent2>
      <a:accent3>
        <a:srgbClr val="A2A9AD"/>
      </a:accent3>
      <a:accent4>
        <a:srgbClr val="005A4E"/>
      </a:accent4>
      <a:accent5>
        <a:srgbClr val="73253E"/>
      </a:accent5>
      <a:accent6>
        <a:srgbClr val="A6835A"/>
      </a:accent6>
      <a:hlink>
        <a:srgbClr val="1C355E"/>
      </a:hlink>
      <a:folHlink>
        <a:srgbClr val="73253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2F5A7-5323-4571-B896-5FB35C844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1970</Characters>
  <Application>Microsoft Office Word</Application>
  <DocSecurity>0</DocSecurity>
  <Lines>16</Lines>
  <Paragraphs>4</Paragraphs>
  <ScaleCrop>false</ScaleCrop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Róbert Matuška</cp:lastModifiedBy>
  <cp:revision>1</cp:revision>
  <dcterms:created xsi:type="dcterms:W3CDTF">2021-02-25T09:50:00Z</dcterms:created>
  <dcterms:modified xsi:type="dcterms:W3CDTF">2021-02-25T09:50:00Z</dcterms:modified>
</cp:coreProperties>
</file>